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F6C3" w14:textId="31F53076" w:rsidR="000576D5" w:rsidRDefault="008E402B">
      <w:pPr>
        <w:pStyle w:val="a8"/>
        <w:spacing w:after="240" w:line="288" w:lineRule="auto"/>
        <w:jc w:val="left"/>
        <w:rPr>
          <w:rFonts w:ascii="Times New Roman" w:hAnsi="Times New Roman" w:cs="Times New Roman"/>
          <w:b/>
          <w:bCs/>
          <w:sz w:val="36"/>
          <w:szCs w:val="36"/>
        </w:rPr>
      </w:pP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MACROBUTTON MTEditEquationSection2 </w:instrText>
      </w:r>
      <w:r w:rsidRPr="008E402B">
        <w:rPr>
          <w:rStyle w:val="MTEquationSection"/>
        </w:rPr>
        <w:instrText>Equation Chapter 1 Section 1</w:instrTex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MTEqn \r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MTSec \r 1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SEQ MTChap \r 1 \h \* MERGEFORMAT </w:instrText>
      </w:r>
      <w:r>
        <w:rPr>
          <w:rFonts w:ascii="Times New Roman" w:hAnsi="Times New Roman" w:cs="Times New Roman"/>
          <w:b/>
          <w:bCs/>
          <w:sz w:val="36"/>
          <w:szCs w:val="36"/>
        </w:rPr>
        <w:fldChar w:fldCharType="end"/>
      </w:r>
      <w:r>
        <w:rPr>
          <w:rFonts w:ascii="Times New Roman" w:hAnsi="Times New Roman" w:cs="Times New Roman"/>
          <w:b/>
          <w:bCs/>
          <w:sz w:val="36"/>
          <w:szCs w:val="36"/>
        </w:rPr>
        <w:fldChar w:fldCharType="end"/>
      </w:r>
      <w:r w:rsidR="002213A8" w:rsidRPr="002213A8">
        <w:rPr>
          <w:rFonts w:ascii="Times New Roman" w:hAnsi="Times New Roman" w:cs="Times New Roman"/>
          <w:b/>
          <w:bCs/>
          <w:sz w:val="36"/>
          <w:szCs w:val="36"/>
        </w:rPr>
        <w:t>Here is the Title</w:t>
      </w:r>
    </w:p>
    <w:p w14:paraId="3889F6C4" w14:textId="4C0D5D80" w:rsidR="000576D5" w:rsidRDefault="004821A6" w:rsidP="002F20E5">
      <w:pPr>
        <w:pStyle w:val="Author"/>
        <w:spacing w:after="0" w:line="360" w:lineRule="auto"/>
        <w:ind w:right="851"/>
        <w:jc w:val="left"/>
        <w:rPr>
          <w:rFonts w:ascii="Times New Roman" w:hAnsi="Times New Roman" w:cs="Times New Roman"/>
          <w:i/>
          <w:iCs/>
          <w:sz w:val="20"/>
          <w:szCs w:val="20"/>
        </w:rPr>
      </w:pPr>
      <w:r w:rsidRPr="004821A6">
        <w:rPr>
          <w:rFonts w:ascii="Times New Roman" w:hAnsi="Times New Roman" w:cs="Times New Roman"/>
          <w:sz w:val="22"/>
          <w:szCs w:val="22"/>
        </w:rPr>
        <w:t>John Doe</w:t>
      </w:r>
      <w:proofErr w:type="gramStart"/>
      <w:r>
        <w:rPr>
          <w:rFonts w:ascii="Times New Roman" w:eastAsiaTheme="minorEastAsia" w:hAnsi="Times New Roman" w:cs="Times New Roman"/>
          <w:snapToGrid w:val="0"/>
          <w:color w:val="000000"/>
          <w:sz w:val="22"/>
          <w:szCs w:val="22"/>
          <w:vertAlign w:val="superscript"/>
        </w:rPr>
        <w:t>1,*</w:t>
      </w:r>
      <w:proofErr w:type="gramEnd"/>
      <w:r>
        <w:rPr>
          <w:rFonts w:ascii="Times New Roman" w:eastAsiaTheme="minorEastAsia" w:hAnsi="Times New Roman" w:cs="Times New Roman" w:hint="eastAsia"/>
          <w:snapToGrid w:val="0"/>
          <w:color w:val="000000"/>
          <w:sz w:val="22"/>
          <w:szCs w:val="22"/>
        </w:rPr>
        <w:t xml:space="preserve"> and</w:t>
      </w:r>
      <w:r w:rsidRPr="004821A6">
        <w:rPr>
          <w:rFonts w:ascii="Times New Roman" w:eastAsiaTheme="minorEastAsia" w:hAnsi="Times New Roman" w:cs="Times New Roman"/>
          <w:snapToGrid w:val="0"/>
          <w:color w:val="000000"/>
          <w:sz w:val="22"/>
          <w:szCs w:val="22"/>
        </w:rPr>
        <w:t xml:space="preserve"> Jane Smith</w:t>
      </w:r>
      <w:r w:rsidR="00286623">
        <w:rPr>
          <w:rFonts w:ascii="Times New Roman" w:eastAsiaTheme="minorEastAsia" w:hAnsi="Times New Roman" w:cs="Times New Roman" w:hint="eastAsia"/>
          <w:snapToGrid w:val="0"/>
          <w:color w:val="000000"/>
          <w:sz w:val="22"/>
          <w:szCs w:val="22"/>
          <w:vertAlign w:val="superscript"/>
        </w:rPr>
        <w:t>1,2,*</w:t>
      </w:r>
      <w:r>
        <w:rPr>
          <w:rFonts w:ascii="Times New Roman" w:eastAsiaTheme="minorEastAsia" w:hAnsi="Times New Roman" w:cs="Times New Roman"/>
          <w:snapToGrid w:val="0"/>
          <w:color w:val="000000"/>
          <w:sz w:val="22"/>
          <w:szCs w:val="22"/>
          <w:vertAlign w:val="superscript"/>
        </w:rPr>
        <w:br/>
      </w:r>
      <w:r>
        <w:rPr>
          <w:rFonts w:ascii="Times New Roman" w:eastAsiaTheme="minorEastAsia" w:hAnsi="Times New Roman" w:cs="Times New Roman" w:hint="eastAsia"/>
          <w:snapToGrid w:val="0"/>
          <w:color w:val="000000"/>
          <w:sz w:val="22"/>
          <w:szCs w:val="22"/>
          <w:vertAlign w:val="superscript"/>
        </w:rPr>
        <w:t>1</w:t>
      </w:r>
      <w:r w:rsidR="00286623" w:rsidRPr="00286623">
        <w:rPr>
          <w:rFonts w:ascii="Times New Roman" w:hAnsi="Times New Roman" w:cs="Times New Roman"/>
          <w:i/>
          <w:iCs/>
          <w:sz w:val="20"/>
          <w:szCs w:val="20"/>
        </w:rPr>
        <w:t xml:space="preserve">Department of Chemistry, Faculty of Arts and Sciences, </w:t>
      </w:r>
      <w:proofErr w:type="spellStart"/>
      <w:r w:rsidR="00286623" w:rsidRPr="00286623">
        <w:rPr>
          <w:rFonts w:ascii="Times New Roman" w:hAnsi="Times New Roman" w:cs="Times New Roman"/>
          <w:i/>
          <w:iCs/>
          <w:sz w:val="20"/>
          <w:szCs w:val="20"/>
        </w:rPr>
        <w:t>Beĳing</w:t>
      </w:r>
      <w:proofErr w:type="spellEnd"/>
      <w:r w:rsidR="00286623" w:rsidRPr="00286623">
        <w:rPr>
          <w:rFonts w:ascii="Times New Roman" w:hAnsi="Times New Roman" w:cs="Times New Roman"/>
          <w:i/>
          <w:iCs/>
          <w:sz w:val="20"/>
          <w:szCs w:val="20"/>
        </w:rPr>
        <w:t xml:space="preserve"> Normal University, Zhuhai 519087, China</w:t>
      </w:r>
    </w:p>
    <w:p w14:paraId="30BD09A1" w14:textId="58275309" w:rsidR="00286623" w:rsidRPr="00286623" w:rsidRDefault="00286623" w:rsidP="00286623">
      <w:pPr>
        <w:pStyle w:val="a0"/>
        <w:spacing w:before="0"/>
      </w:pPr>
      <w:r>
        <w:rPr>
          <w:rFonts w:ascii="Times New Roman" w:hAnsi="Times New Roman" w:cs="Times New Roman" w:hint="eastAsia"/>
          <w:snapToGrid w:val="0"/>
          <w:color w:val="000000"/>
          <w:sz w:val="22"/>
          <w:szCs w:val="22"/>
          <w:vertAlign w:val="superscript"/>
        </w:rPr>
        <w:t>2</w:t>
      </w:r>
      <w:r w:rsidRPr="00286623">
        <w:rPr>
          <w:rFonts w:ascii="Times New Roman" w:hAnsi="Times New Roman" w:cs="Times New Roman"/>
          <w:i/>
          <w:iCs/>
          <w:sz w:val="20"/>
          <w:szCs w:val="20"/>
        </w:rPr>
        <w:t xml:space="preserve">College of Chemistry, </w:t>
      </w:r>
      <w:proofErr w:type="spellStart"/>
      <w:r w:rsidRPr="00286623">
        <w:rPr>
          <w:rFonts w:ascii="Times New Roman" w:hAnsi="Times New Roman" w:cs="Times New Roman"/>
          <w:i/>
          <w:iCs/>
          <w:sz w:val="20"/>
          <w:szCs w:val="20"/>
        </w:rPr>
        <w:t>Beĳing</w:t>
      </w:r>
      <w:proofErr w:type="spellEnd"/>
      <w:r w:rsidRPr="00286623">
        <w:rPr>
          <w:rFonts w:ascii="Times New Roman" w:hAnsi="Times New Roman" w:cs="Times New Roman"/>
          <w:i/>
          <w:iCs/>
          <w:sz w:val="20"/>
          <w:szCs w:val="20"/>
        </w:rPr>
        <w:t xml:space="preserve"> Normal University, </w:t>
      </w:r>
      <w:proofErr w:type="spellStart"/>
      <w:r w:rsidRPr="00286623">
        <w:rPr>
          <w:rFonts w:ascii="Times New Roman" w:hAnsi="Times New Roman" w:cs="Times New Roman"/>
          <w:i/>
          <w:iCs/>
          <w:sz w:val="20"/>
          <w:szCs w:val="20"/>
        </w:rPr>
        <w:t>Beĳing</w:t>
      </w:r>
      <w:proofErr w:type="spellEnd"/>
      <w:r w:rsidRPr="00286623">
        <w:rPr>
          <w:rFonts w:ascii="Times New Roman" w:hAnsi="Times New Roman" w:cs="Times New Roman"/>
          <w:i/>
          <w:iCs/>
          <w:sz w:val="20"/>
          <w:szCs w:val="20"/>
        </w:rPr>
        <w:t xml:space="preserve"> 100875, China</w:t>
      </w:r>
    </w:p>
    <w:p w14:paraId="3889F6C5" w14:textId="77777777" w:rsidR="000576D5" w:rsidRDefault="007D044B">
      <w:pPr>
        <w:rPr>
          <w:rFonts w:ascii="Times New Roman" w:eastAsiaTheme="majorEastAsia" w:hAnsi="Times New Roman" w:cs="Times New Roman"/>
          <w:i/>
          <w:iCs/>
          <w:sz w:val="20"/>
          <w:szCs w:val="20"/>
        </w:rPr>
      </w:pPr>
      <w:r>
        <w:rPr>
          <w:rFonts w:ascii="Times New Roman" w:eastAsiaTheme="majorEastAsia" w:hAnsi="Times New Roman" w:cs="Times New Roman"/>
          <w:i/>
          <w:iCs/>
          <w:sz w:val="20"/>
          <w:szCs w:val="20"/>
        </w:rPr>
        <w:t>*</w:t>
      </w:r>
      <w:r w:rsidRPr="004128CF">
        <w:rPr>
          <w:rFonts w:ascii="Times New Roman" w:eastAsiaTheme="majorEastAsia" w:hAnsi="Times New Roman" w:cs="Times New Roman"/>
          <w:sz w:val="20"/>
          <w:szCs w:val="20"/>
        </w:rPr>
        <w:t xml:space="preserve">Corresponding authors: </w:t>
      </w:r>
      <w:proofErr w:type="spellStart"/>
      <w:r w:rsidRPr="004128CF">
        <w:rPr>
          <w:rFonts w:ascii="Times New Roman" w:eastAsiaTheme="majorEastAsia" w:hAnsi="Times New Roman" w:cs="Times New Roman"/>
          <w:sz w:val="20"/>
          <w:szCs w:val="20"/>
        </w:rPr>
        <w:t>xxxxx@xxx</w:t>
      </w:r>
      <w:proofErr w:type="spellEnd"/>
    </w:p>
    <w:p w14:paraId="3889F6C6" w14:textId="77777777" w:rsidR="000576D5" w:rsidRPr="004128CF" w:rsidRDefault="007D044B">
      <w:pPr>
        <w:rPr>
          <w:rFonts w:ascii="Times New Roman" w:hAnsi="Times New Roman" w:cs="Times New Roman"/>
        </w:rPr>
      </w:pPr>
      <w:r w:rsidRPr="004128CF">
        <w:rPr>
          <w:rFonts w:ascii="Times New Roman" w:eastAsiaTheme="majorEastAsia" w:hAnsi="Times New Roman" w:cs="Times New Roman"/>
          <w:sz w:val="18"/>
          <w:szCs w:val="18"/>
        </w:rPr>
        <w:t>Received: 20 Oct. 2026; Revision: 25 Oct. 2026; Accepted: 25 Dec. 2026; Online: 28 Dec. 2026</w:t>
      </w:r>
    </w:p>
    <w:p w14:paraId="3889F6C7" w14:textId="77777777" w:rsidR="000576D5" w:rsidRDefault="000576D5">
      <w:pPr>
        <w:pStyle w:val="a0"/>
        <w:pBdr>
          <w:bottom w:val="single" w:sz="4" w:space="0" w:color="auto"/>
        </w:pBdr>
        <w:spacing w:before="0" w:after="0"/>
        <w:ind w:leftChars="100" w:left="240"/>
        <w:rPr>
          <w:rFonts w:ascii="Times New Roman" w:hAnsi="Times New Roman" w:cs="Times New Roman"/>
          <w:sz w:val="10"/>
          <w:szCs w:val="10"/>
        </w:rPr>
      </w:pPr>
    </w:p>
    <w:p w14:paraId="3889F6C8" w14:textId="6F06F4B6" w:rsidR="000576D5" w:rsidRDefault="007D044B">
      <w:pPr>
        <w:pStyle w:val="AbstractTitle"/>
        <w:tabs>
          <w:tab w:val="left" w:pos="10080"/>
        </w:tabs>
        <w:spacing w:before="221" w:line="276" w:lineRule="auto"/>
        <w:ind w:leftChars="100" w:left="240"/>
        <w:jc w:val="both"/>
        <w:rPr>
          <w:rFonts w:ascii="Times New Roman" w:hAnsi="Times New Roman" w:cs="Times New Roman"/>
          <w:b w:val="0"/>
          <w:bCs/>
          <w:sz w:val="19"/>
          <w:szCs w:val="19"/>
        </w:rPr>
      </w:pPr>
      <w:r>
        <w:rPr>
          <w:rFonts w:ascii="Times New Roman" w:hAnsi="Times New Roman" w:cs="Times New Roman"/>
          <w:sz w:val="19"/>
          <w:szCs w:val="19"/>
        </w:rPr>
        <w:t xml:space="preserve">Abstract: </w:t>
      </w:r>
      <w:r w:rsidR="004128CF" w:rsidRPr="004128CF">
        <w:rPr>
          <w:rFonts w:ascii="Times New Roman" w:hAnsi="Times New Roman" w:cs="Times New Roman"/>
          <w:b w:val="0"/>
          <w:bCs/>
          <w:sz w:val="19"/>
          <w:szCs w:val="19"/>
        </w:rPr>
        <w:t xml:space="preserve">The abstract should be a single paragraph that </w:t>
      </w:r>
      <w:proofErr w:type="spellStart"/>
      <w:r w:rsidR="004128CF" w:rsidRPr="004128CF">
        <w:rPr>
          <w:rFonts w:ascii="Times New Roman" w:hAnsi="Times New Roman" w:cs="Times New Roman"/>
          <w:b w:val="0"/>
          <w:bCs/>
          <w:sz w:val="19"/>
          <w:szCs w:val="19"/>
        </w:rPr>
        <w:t>summarises</w:t>
      </w:r>
      <w:proofErr w:type="spellEnd"/>
      <w:r w:rsidR="004128CF" w:rsidRPr="004128CF">
        <w:rPr>
          <w:rFonts w:ascii="Times New Roman" w:hAnsi="Times New Roman" w:cs="Times New Roman"/>
          <w:b w:val="0"/>
          <w:bCs/>
          <w:sz w:val="19"/>
          <w:szCs w:val="19"/>
        </w:rPr>
        <w:t xml:space="preserve"> the content of the article.</w:t>
      </w:r>
    </w:p>
    <w:p w14:paraId="3889F6C9" w14:textId="77777777" w:rsidR="000576D5" w:rsidRDefault="007D044B">
      <w:pPr>
        <w:spacing w:before="63" w:after="221" w:line="276" w:lineRule="auto"/>
        <w:ind w:leftChars="100" w:left="240"/>
        <w:rPr>
          <w:rFonts w:ascii="Times New Roman" w:hAnsi="Times New Roman" w:cs="Times New Roman"/>
          <w:bCs/>
          <w:sz w:val="20"/>
          <w:szCs w:val="20"/>
        </w:rPr>
      </w:pPr>
      <w:r>
        <w:rPr>
          <w:rFonts w:ascii="Times New Roman" w:hAnsi="Times New Roman" w:cs="Times New Roman"/>
          <w:b/>
          <w:sz w:val="20"/>
          <w:szCs w:val="20"/>
        </w:rPr>
        <w:t xml:space="preserve">Key words: </w:t>
      </w:r>
      <w:r>
        <w:rPr>
          <w:rFonts w:ascii="Times New Roman" w:hAnsi="Times New Roman" w:cs="Times New Roman"/>
          <w:bCs/>
          <w:sz w:val="20"/>
          <w:szCs w:val="20"/>
        </w:rPr>
        <w:t>tunneling, semiclassical, rate theory, quantization.</w:t>
      </w:r>
    </w:p>
    <w:p w14:paraId="3889F6CA" w14:textId="77777777" w:rsidR="000576D5" w:rsidRDefault="000576D5">
      <w:pPr>
        <w:pBdr>
          <w:bottom w:val="single" w:sz="4" w:space="0" w:color="auto"/>
        </w:pBdr>
        <w:spacing w:after="0"/>
        <w:ind w:leftChars="100" w:left="240"/>
        <w:rPr>
          <w:rFonts w:ascii="Times New Roman" w:hAnsi="Times New Roman" w:cs="Times New Roman"/>
          <w:bCs/>
          <w:sz w:val="10"/>
          <w:szCs w:val="10"/>
        </w:rPr>
      </w:pPr>
    </w:p>
    <w:p w14:paraId="3889F6CB" w14:textId="77777777" w:rsidR="000576D5" w:rsidRDefault="000576D5">
      <w:pPr>
        <w:pStyle w:val="1"/>
        <w:ind w:leftChars="100" w:left="240"/>
        <w:rPr>
          <w:rFonts w:ascii="Times New Roman" w:hAnsi="Times New Roman" w:cs="Times New Roman"/>
          <w:sz w:val="10"/>
          <w:szCs w:val="10"/>
        </w:rPr>
        <w:sectPr w:rsidR="000576D5" w:rsidSect="00974089">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851" w:bottom="1418" w:left="851" w:header="720" w:footer="720" w:gutter="0"/>
          <w:pgNumType w:fmt="decimalFullWidth"/>
          <w:cols w:space="720"/>
          <w:titlePg/>
        </w:sectPr>
      </w:pPr>
      <w:bookmarkStart w:id="0" w:name="introduction"/>
    </w:p>
    <w:p w14:paraId="3889F6CC" w14:textId="77777777" w:rsidR="000576D5" w:rsidRDefault="007D044B" w:rsidP="004B0AC4">
      <w:pPr>
        <w:pStyle w:val="1"/>
        <w:numPr>
          <w:ilvl w:val="0"/>
          <w:numId w:val="1"/>
        </w:numPr>
        <w:spacing w:beforeLines="100" w:before="240" w:afterLines="100" w:after="240"/>
        <w:ind w:left="482" w:hanging="48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Introduction</w:t>
      </w:r>
    </w:p>
    <w:p w14:paraId="3889F6E7" w14:textId="08BDD675" w:rsidR="000576D5" w:rsidRDefault="00E17099" w:rsidP="00EF112C">
      <w:pPr>
        <w:pStyle w:val="FirstParagraph"/>
        <w:spacing w:before="0" w:after="0" w:line="276" w:lineRule="auto"/>
        <w:jc w:val="both"/>
        <w:rPr>
          <w:rFonts w:ascii="Times New Roman" w:hAnsi="Times New Roman" w:cs="Times New Roman"/>
          <w:sz w:val="20"/>
          <w:szCs w:val="20"/>
        </w:rPr>
      </w:pPr>
      <w:r w:rsidRPr="00E17099">
        <w:rPr>
          <w:rFonts w:ascii="Times New Roman" w:hAnsi="Times New Roman" w:cs="Times New Roman"/>
          <w:sz w:val="20"/>
          <w:szCs w:val="20"/>
        </w:rPr>
        <w:t>The introduction section should appear here</w:t>
      </w:r>
      <w:r w:rsidR="00BE7E3F">
        <w:rPr>
          <w:rFonts w:ascii="Times New Roman" w:hAnsi="Times New Roman" w:cs="Times New Roman"/>
          <w:sz w:val="20"/>
          <w:szCs w:val="20"/>
        </w:rPr>
        <w:t xml:space="preserve"> </w:t>
      </w:r>
      <w:r w:rsidRPr="00E17099">
        <w:rPr>
          <w:rFonts w:ascii="Times New Roman" w:hAnsi="Times New Roman" w:cs="Times New Roman"/>
          <w:sz w:val="20"/>
          <w:szCs w:val="20"/>
        </w:rPr>
        <w:t>[1–8].</w:t>
      </w:r>
    </w:p>
    <w:p w14:paraId="3889F6E8" w14:textId="394C56D3" w:rsidR="000576D5" w:rsidRDefault="003816A3" w:rsidP="004B0AC4">
      <w:pPr>
        <w:pStyle w:val="1"/>
        <w:numPr>
          <w:ilvl w:val="0"/>
          <w:numId w:val="1"/>
        </w:numPr>
        <w:spacing w:beforeLines="100" w:before="240" w:afterLines="100" w:after="240"/>
        <w:ind w:left="482" w:hanging="482"/>
        <w:jc w:val="both"/>
        <w:rPr>
          <w:rFonts w:ascii="Times New Roman" w:hAnsi="Times New Roman" w:cs="Times New Roman"/>
          <w:b/>
          <w:bCs/>
          <w:color w:val="auto"/>
          <w:sz w:val="24"/>
          <w:szCs w:val="24"/>
        </w:rPr>
      </w:pPr>
      <w:bookmarkStart w:id="1" w:name="semiclassical-quantization"/>
      <w:bookmarkStart w:id="2" w:name="challenges-raised-by-semiclassics"/>
      <w:bookmarkEnd w:id="0"/>
      <w:r w:rsidRPr="003816A3">
        <w:rPr>
          <w:rFonts w:ascii="Times New Roman" w:hAnsi="Times New Roman" w:cs="Times New Roman"/>
          <w:b/>
          <w:bCs/>
          <w:color w:val="auto"/>
          <w:sz w:val="24"/>
          <w:szCs w:val="24"/>
        </w:rPr>
        <w:t>Theoretical and computational details</w:t>
      </w:r>
    </w:p>
    <w:p w14:paraId="4D8E0504" w14:textId="51362870" w:rsidR="003816A3" w:rsidRPr="003816A3" w:rsidRDefault="003816A3" w:rsidP="00EF112C">
      <w:pPr>
        <w:pStyle w:val="a0"/>
        <w:spacing w:before="0" w:after="0" w:line="276" w:lineRule="auto"/>
        <w:jc w:val="both"/>
        <w:rPr>
          <w:rFonts w:ascii="Times New Roman" w:hAnsi="Times New Roman" w:cs="Times New Roman"/>
          <w:sz w:val="20"/>
          <w:szCs w:val="20"/>
        </w:rPr>
      </w:pPr>
      <w:r w:rsidRPr="003816A3">
        <w:rPr>
          <w:rFonts w:ascii="Times New Roman" w:hAnsi="Times New Roman" w:cs="Times New Roman"/>
          <w:sz w:val="20"/>
          <w:szCs w:val="20"/>
        </w:rPr>
        <w:t>The theoretical and computational methods or details should</w:t>
      </w:r>
      <w:r>
        <w:rPr>
          <w:rFonts w:ascii="Times New Roman" w:hAnsi="Times New Roman" w:cs="Times New Roman" w:hint="eastAsia"/>
          <w:sz w:val="20"/>
          <w:szCs w:val="20"/>
        </w:rPr>
        <w:t xml:space="preserve"> </w:t>
      </w:r>
      <w:r w:rsidRPr="003816A3">
        <w:rPr>
          <w:rFonts w:ascii="Times New Roman" w:hAnsi="Times New Roman" w:cs="Times New Roman"/>
          <w:sz w:val="20"/>
          <w:szCs w:val="20"/>
        </w:rPr>
        <w:t>appear here.</w:t>
      </w:r>
    </w:p>
    <w:p w14:paraId="3889F6E9" w14:textId="2184F87E" w:rsidR="000576D5" w:rsidRDefault="007B28AD" w:rsidP="00EF112C">
      <w:pPr>
        <w:pStyle w:val="1"/>
        <w:numPr>
          <w:ilvl w:val="0"/>
          <w:numId w:val="2"/>
        </w:numPr>
        <w:spacing w:beforeLines="100" w:before="240" w:afterLines="100" w:after="240"/>
        <w:ind w:left="0" w:firstLine="0"/>
        <w:jc w:val="both"/>
        <w:rPr>
          <w:rFonts w:ascii="Times New Roman" w:hAnsi="Times New Roman" w:cs="Times New Roman"/>
          <w:b/>
          <w:bCs/>
          <w:color w:val="auto"/>
          <w:sz w:val="22"/>
          <w:szCs w:val="22"/>
        </w:rPr>
      </w:pPr>
      <w:r w:rsidRPr="007B28AD">
        <w:rPr>
          <w:rFonts w:ascii="Times New Roman" w:hAnsi="Times New Roman" w:cs="Times New Roman"/>
          <w:b/>
          <w:bCs/>
          <w:color w:val="auto"/>
          <w:sz w:val="22"/>
          <w:szCs w:val="22"/>
        </w:rPr>
        <w:t>Methods</w:t>
      </w:r>
    </w:p>
    <w:p w14:paraId="3889F6EB" w14:textId="113F4B7A" w:rsidR="000576D5" w:rsidRPr="005E1E99" w:rsidRDefault="007B28AD" w:rsidP="00EF112C">
      <w:pPr>
        <w:pStyle w:val="FirstParagraph"/>
        <w:spacing w:before="0" w:after="0" w:line="276" w:lineRule="auto"/>
        <w:jc w:val="both"/>
        <w:rPr>
          <w:rFonts w:ascii="Times New Roman" w:hAnsi="Times New Roman" w:cs="Times New Roman"/>
          <w:sz w:val="20"/>
          <w:szCs w:val="20"/>
        </w:rPr>
      </w:pPr>
      <w:r w:rsidRPr="007B28AD">
        <w:rPr>
          <w:rFonts w:ascii="Times New Roman" w:hAnsi="Times New Roman" w:cs="Times New Roman"/>
          <w:sz w:val="20"/>
          <w:szCs w:val="20"/>
        </w:rPr>
        <w:t>The time-dependent Schrödinger equation is:</w:t>
      </w:r>
    </w:p>
    <w:p w14:paraId="5356F68F" w14:textId="5D9F6A42" w:rsidR="005E1E99" w:rsidRDefault="002F79E7" w:rsidP="00EF112C">
      <w:pPr>
        <w:pStyle w:val="MTDisplayEquation"/>
        <w:ind w:leftChars="0" w:left="0"/>
      </w:pPr>
      <w:r>
        <w:tab/>
      </w:r>
      <w:r w:rsidR="00966DB3" w:rsidRPr="00966DB3">
        <w:rPr>
          <w:position w:val="-22"/>
        </w:rPr>
        <w:object w:dxaOrig="1880" w:dyaOrig="560" w14:anchorId="07A6C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27.5pt" o:ole="">
            <v:imagedata r:id="rId13" o:title=""/>
          </v:shape>
          <o:OLEObject Type="Embed" ProgID="Equation.DSMT4" ShapeID="_x0000_i1025" DrawAspect="Content" ObjectID="_1834926062" r:id="rId14"/>
        </w:object>
      </w:r>
      <w:r>
        <w:tab/>
      </w:r>
      <w:r w:rsidRPr="00966DB3">
        <w:rPr>
          <w:sz w:val="20"/>
          <w:szCs w:val="20"/>
        </w:rPr>
        <w:fldChar w:fldCharType="begin"/>
      </w:r>
      <w:r w:rsidRPr="00966DB3">
        <w:rPr>
          <w:sz w:val="20"/>
          <w:szCs w:val="20"/>
        </w:rPr>
        <w:instrText xml:space="preserve"> MACROBUTTON MTPlaceRef \* MERGEFORMAT </w:instrText>
      </w:r>
      <w:r w:rsidRPr="00966DB3">
        <w:rPr>
          <w:sz w:val="20"/>
          <w:szCs w:val="20"/>
        </w:rPr>
        <w:fldChar w:fldCharType="begin"/>
      </w:r>
      <w:r w:rsidRPr="00966DB3">
        <w:rPr>
          <w:sz w:val="20"/>
          <w:szCs w:val="20"/>
        </w:rPr>
        <w:instrText xml:space="preserve"> SEQ MTEqn \h \* MERGEFORMAT </w:instrText>
      </w:r>
      <w:r w:rsidRPr="00966DB3">
        <w:rPr>
          <w:sz w:val="20"/>
          <w:szCs w:val="20"/>
        </w:rPr>
        <w:fldChar w:fldCharType="end"/>
      </w:r>
      <w:r w:rsidRPr="00966DB3">
        <w:rPr>
          <w:sz w:val="20"/>
          <w:szCs w:val="20"/>
        </w:rPr>
        <w:instrText>(</w:instrText>
      </w:r>
      <w:r w:rsidR="00966DB3" w:rsidRPr="00966DB3">
        <w:rPr>
          <w:sz w:val="20"/>
          <w:szCs w:val="20"/>
        </w:rPr>
        <w:fldChar w:fldCharType="begin"/>
      </w:r>
      <w:r w:rsidR="00966DB3" w:rsidRPr="00966DB3">
        <w:rPr>
          <w:sz w:val="20"/>
          <w:szCs w:val="20"/>
        </w:rPr>
        <w:instrText xml:space="preserve"> SEQ MTSec \c \* Arabic \* MERGEFORMAT </w:instrText>
      </w:r>
      <w:r w:rsidR="00966DB3" w:rsidRPr="00966DB3">
        <w:rPr>
          <w:sz w:val="20"/>
          <w:szCs w:val="20"/>
        </w:rPr>
        <w:fldChar w:fldCharType="separate"/>
      </w:r>
      <w:r w:rsidRPr="00966DB3">
        <w:rPr>
          <w:noProof/>
          <w:sz w:val="20"/>
          <w:szCs w:val="20"/>
        </w:rPr>
        <w:instrText>1</w:instrText>
      </w:r>
      <w:r w:rsidR="00966DB3" w:rsidRPr="00966DB3">
        <w:rPr>
          <w:noProof/>
          <w:sz w:val="20"/>
          <w:szCs w:val="20"/>
        </w:rPr>
        <w:fldChar w:fldCharType="end"/>
      </w:r>
      <w:r w:rsidRPr="00966DB3">
        <w:rPr>
          <w:sz w:val="20"/>
          <w:szCs w:val="20"/>
        </w:rPr>
        <w:instrText>)</w:instrText>
      </w:r>
      <w:r w:rsidRPr="00966DB3">
        <w:rPr>
          <w:sz w:val="20"/>
          <w:szCs w:val="20"/>
        </w:rPr>
        <w:fldChar w:fldCharType="end"/>
      </w:r>
    </w:p>
    <w:p w14:paraId="22417977" w14:textId="72843819" w:rsidR="00E024C3" w:rsidRDefault="00E024C3" w:rsidP="004B0AC4">
      <w:pPr>
        <w:pStyle w:val="1"/>
        <w:numPr>
          <w:ilvl w:val="0"/>
          <w:numId w:val="1"/>
        </w:numPr>
        <w:spacing w:beforeLines="100" w:before="240" w:afterLines="100" w:after="240"/>
        <w:ind w:left="482" w:hanging="482"/>
        <w:jc w:val="both"/>
        <w:rPr>
          <w:rFonts w:ascii="Times New Roman" w:hAnsi="Times New Roman" w:cs="Times New Roman"/>
          <w:b/>
          <w:bCs/>
          <w:color w:val="auto"/>
          <w:sz w:val="24"/>
          <w:szCs w:val="24"/>
        </w:rPr>
      </w:pPr>
      <w:r w:rsidRPr="00E024C3">
        <w:rPr>
          <w:rFonts w:ascii="Times New Roman" w:hAnsi="Times New Roman" w:cs="Times New Roman"/>
          <w:b/>
          <w:bCs/>
          <w:color w:val="auto"/>
          <w:sz w:val="24"/>
          <w:szCs w:val="24"/>
        </w:rPr>
        <w:t>Results and discussion</w:t>
      </w:r>
    </w:p>
    <w:p w14:paraId="083C1FFB" w14:textId="17850230" w:rsidR="000C50B3" w:rsidRDefault="002D43D7" w:rsidP="00EF112C">
      <w:pPr>
        <w:spacing w:after="0" w:line="276" w:lineRule="auto"/>
        <w:rPr>
          <w:rFonts w:ascii="Times New Roman" w:hAnsi="Times New Roman" w:cs="Times New Roman"/>
          <w:sz w:val="20"/>
          <w:szCs w:val="20"/>
        </w:rPr>
      </w:pPr>
      <w:r w:rsidRPr="002D43D7">
        <w:rPr>
          <w:rFonts w:ascii="Times New Roman" w:hAnsi="Times New Roman" w:cs="Times New Roman"/>
          <w:sz w:val="20"/>
          <w:szCs w:val="20"/>
        </w:rPr>
        <w:t>The results and discussions should appear here.</w:t>
      </w:r>
    </w:p>
    <w:p w14:paraId="664F6E5E" w14:textId="371908B3" w:rsidR="000C50B3" w:rsidRDefault="00FF2FF2" w:rsidP="00EF112C">
      <w:pPr>
        <w:pStyle w:val="1"/>
        <w:numPr>
          <w:ilvl w:val="0"/>
          <w:numId w:val="3"/>
        </w:numPr>
        <w:spacing w:beforeLines="100" w:before="240" w:afterLines="100" w:after="240"/>
        <w:ind w:left="0" w:firstLine="0"/>
        <w:jc w:val="both"/>
        <w:rPr>
          <w:rFonts w:ascii="Times New Roman" w:hAnsi="Times New Roman" w:cs="Times New Roman"/>
          <w:b/>
          <w:bCs/>
          <w:color w:val="auto"/>
          <w:sz w:val="22"/>
          <w:szCs w:val="22"/>
        </w:rPr>
      </w:pPr>
      <w:r w:rsidRPr="00FF2FF2">
        <w:rPr>
          <w:rFonts w:ascii="Times New Roman" w:hAnsi="Times New Roman" w:cs="Times New Roman"/>
          <w:b/>
          <w:bCs/>
          <w:color w:val="auto"/>
          <w:sz w:val="22"/>
          <w:szCs w:val="22"/>
        </w:rPr>
        <w:t>Title of subsection</w:t>
      </w:r>
    </w:p>
    <w:p w14:paraId="4EFB15D1" w14:textId="22CDF253" w:rsidR="007B78DE" w:rsidRDefault="00FF2FF2" w:rsidP="00EF112C">
      <w:pPr>
        <w:spacing w:after="0" w:line="276" w:lineRule="auto"/>
        <w:jc w:val="both"/>
        <w:rPr>
          <w:rFonts w:ascii="Times New Roman" w:hAnsi="Times New Roman" w:cs="Times New Roman"/>
          <w:sz w:val="20"/>
          <w:szCs w:val="20"/>
        </w:rPr>
      </w:pPr>
      <w:r w:rsidRPr="00FF2FF2">
        <w:rPr>
          <w:rFonts w:ascii="Times New Roman" w:hAnsi="Times New Roman" w:cs="Times New Roman"/>
          <w:sz w:val="20"/>
          <w:szCs w:val="20"/>
        </w:rPr>
        <w:t>All figures and tables must be mentioned in the text consecutively</w:t>
      </w:r>
      <w:r>
        <w:rPr>
          <w:rFonts w:ascii="Times New Roman" w:hAnsi="Times New Roman" w:cs="Times New Roman" w:hint="eastAsia"/>
          <w:sz w:val="20"/>
          <w:szCs w:val="20"/>
        </w:rPr>
        <w:t xml:space="preserve"> </w:t>
      </w:r>
      <w:r w:rsidRPr="00FF2FF2">
        <w:rPr>
          <w:rFonts w:ascii="Times New Roman" w:hAnsi="Times New Roman" w:cs="Times New Roman"/>
          <w:sz w:val="20"/>
          <w:szCs w:val="20"/>
        </w:rPr>
        <w:t>and numbered with Arabic numerals, such as Figure 1 or Table</w:t>
      </w:r>
      <w:r>
        <w:rPr>
          <w:rFonts w:ascii="Times New Roman" w:hAnsi="Times New Roman" w:cs="Times New Roman" w:hint="eastAsia"/>
          <w:sz w:val="20"/>
          <w:szCs w:val="20"/>
        </w:rPr>
        <w:t xml:space="preserve"> </w:t>
      </w:r>
      <w:r w:rsidRPr="00FF2FF2">
        <w:rPr>
          <w:rFonts w:ascii="Times New Roman" w:hAnsi="Times New Roman" w:cs="Times New Roman"/>
          <w:sz w:val="20"/>
          <w:szCs w:val="20"/>
        </w:rPr>
        <w:t>1.</w:t>
      </w:r>
    </w:p>
    <w:p w14:paraId="04B9D7CE" w14:textId="6EFCACF2" w:rsidR="007B78DE" w:rsidRPr="007B78DE" w:rsidRDefault="007B78DE" w:rsidP="00EF112C">
      <w:pPr>
        <w:spacing w:beforeLines="50" w:before="120" w:after="0" w:line="276" w:lineRule="auto"/>
        <w:jc w:val="both"/>
        <w:rPr>
          <w:rFonts w:ascii="Times New Roman" w:hAnsi="Times New Roman" w:cs="Times New Roman"/>
          <w:sz w:val="20"/>
          <w:szCs w:val="20"/>
        </w:rPr>
      </w:pPr>
      <w:r w:rsidRPr="00CA779D">
        <w:rPr>
          <w:rFonts w:ascii="Times New Roman" w:hAnsi="Times New Roman" w:cs="Times New Roman"/>
          <w:b/>
          <w:bCs/>
          <w:sz w:val="20"/>
          <w:szCs w:val="20"/>
        </w:rPr>
        <w:t>Table 1</w:t>
      </w:r>
      <w:r w:rsidRPr="00CA779D">
        <w:rPr>
          <w:rFonts w:ascii="Times New Roman" w:hAnsi="Times New Roman" w:cs="Times New Roman"/>
          <w:sz w:val="20"/>
          <w:szCs w:val="20"/>
        </w:rPr>
        <w:t>. Each table must have a brief (one phrase or sentence) title that describes its contents.</w:t>
      </w:r>
    </w:p>
    <w:tbl>
      <w:tblPr>
        <w:tblW w:w="4694" w:type="pct"/>
        <w:jc w:val="center"/>
        <w:tblLook w:val="04A0" w:firstRow="1" w:lastRow="0" w:firstColumn="1" w:lastColumn="0" w:noHBand="0" w:noVBand="1"/>
      </w:tblPr>
      <w:tblGrid>
        <w:gridCol w:w="1149"/>
        <w:gridCol w:w="1286"/>
        <w:gridCol w:w="1137"/>
        <w:gridCol w:w="1222"/>
      </w:tblGrid>
      <w:tr w:rsidR="00614C9B" w:rsidRPr="00CA779D" w14:paraId="051F844C" w14:textId="77777777" w:rsidTr="009436E9">
        <w:trPr>
          <w:trHeight w:val="320"/>
          <w:jc w:val="center"/>
        </w:trPr>
        <w:tc>
          <w:tcPr>
            <w:tcW w:w="1199" w:type="pct"/>
            <w:tcBorders>
              <w:top w:val="single" w:sz="2" w:space="0" w:color="000000"/>
              <w:left w:val="nil"/>
              <w:bottom w:val="single" w:sz="4" w:space="0" w:color="auto"/>
              <w:right w:val="nil"/>
            </w:tcBorders>
            <w:vAlign w:val="center"/>
            <w:hideMark/>
          </w:tcPr>
          <w:p w14:paraId="0CA76AAF"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Head 1</w:t>
            </w:r>
            <w:r w:rsidRPr="00CA779D">
              <w:rPr>
                <w:rFonts w:ascii="Times New Roman" w:hAnsi="Times New Roman" w:cs="Times New Roman"/>
                <w:sz w:val="20"/>
                <w:szCs w:val="20"/>
                <w:vertAlign w:val="superscript"/>
              </w:rPr>
              <w:t>[a]</w:t>
            </w:r>
          </w:p>
        </w:tc>
        <w:tc>
          <w:tcPr>
            <w:tcW w:w="1341" w:type="pct"/>
            <w:tcBorders>
              <w:top w:val="single" w:sz="2" w:space="0" w:color="000000"/>
              <w:left w:val="nil"/>
              <w:bottom w:val="single" w:sz="4" w:space="0" w:color="auto"/>
              <w:right w:val="nil"/>
            </w:tcBorders>
            <w:vAlign w:val="center"/>
            <w:hideMark/>
          </w:tcPr>
          <w:p w14:paraId="0DB4653D" w14:textId="4544109D"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2</w:t>
            </w:r>
          </w:p>
        </w:tc>
        <w:tc>
          <w:tcPr>
            <w:tcW w:w="1186" w:type="pct"/>
            <w:tcBorders>
              <w:top w:val="single" w:sz="2" w:space="0" w:color="000000"/>
              <w:left w:val="nil"/>
              <w:bottom w:val="single" w:sz="4" w:space="0" w:color="auto"/>
              <w:right w:val="nil"/>
            </w:tcBorders>
            <w:vAlign w:val="center"/>
            <w:hideMark/>
          </w:tcPr>
          <w:p w14:paraId="5C9C8856" w14:textId="728394E9"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3</w:t>
            </w:r>
          </w:p>
        </w:tc>
        <w:tc>
          <w:tcPr>
            <w:tcW w:w="1274" w:type="pct"/>
            <w:tcBorders>
              <w:top w:val="single" w:sz="2" w:space="0" w:color="000000"/>
              <w:left w:val="nil"/>
              <w:bottom w:val="single" w:sz="4" w:space="0" w:color="auto"/>
              <w:right w:val="nil"/>
            </w:tcBorders>
            <w:vAlign w:val="center"/>
            <w:hideMark/>
          </w:tcPr>
          <w:p w14:paraId="7C272767" w14:textId="11A82F5F"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 xml:space="preserve">Head </w:t>
            </w:r>
            <w:r w:rsidR="00BD3C3B">
              <w:rPr>
                <w:rFonts w:ascii="Times New Roman" w:hAnsi="Times New Roman" w:cs="Times New Roman" w:hint="eastAsia"/>
                <w:b/>
                <w:bCs/>
                <w:sz w:val="20"/>
                <w:szCs w:val="20"/>
              </w:rPr>
              <w:t>4</w:t>
            </w:r>
          </w:p>
        </w:tc>
      </w:tr>
      <w:tr w:rsidR="00614C9B" w:rsidRPr="00CA779D" w14:paraId="07D3D375" w14:textId="77777777" w:rsidTr="009436E9">
        <w:trPr>
          <w:trHeight w:val="316"/>
          <w:jc w:val="center"/>
        </w:trPr>
        <w:tc>
          <w:tcPr>
            <w:tcW w:w="1199" w:type="pct"/>
            <w:tcBorders>
              <w:top w:val="single" w:sz="4" w:space="0" w:color="auto"/>
              <w:left w:val="nil"/>
              <w:bottom w:val="nil"/>
              <w:right w:val="nil"/>
            </w:tcBorders>
            <w:vAlign w:val="center"/>
            <w:hideMark/>
          </w:tcPr>
          <w:p w14:paraId="2522FE0D"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single" w:sz="4" w:space="0" w:color="auto"/>
              <w:left w:val="nil"/>
              <w:bottom w:val="nil"/>
              <w:right w:val="nil"/>
            </w:tcBorders>
            <w:vAlign w:val="center"/>
            <w:hideMark/>
          </w:tcPr>
          <w:p w14:paraId="4A78F32B"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r w:rsidRPr="00CA779D">
              <w:rPr>
                <w:rFonts w:ascii="Times New Roman" w:hAnsi="Times New Roman" w:cs="Times New Roman"/>
                <w:sz w:val="20"/>
                <w:szCs w:val="20"/>
                <w:vertAlign w:val="superscript"/>
              </w:rPr>
              <w:t>[b]</w:t>
            </w:r>
          </w:p>
        </w:tc>
        <w:tc>
          <w:tcPr>
            <w:tcW w:w="1186" w:type="pct"/>
            <w:tcBorders>
              <w:top w:val="single" w:sz="4" w:space="0" w:color="auto"/>
              <w:left w:val="nil"/>
              <w:bottom w:val="nil"/>
              <w:right w:val="nil"/>
            </w:tcBorders>
            <w:vAlign w:val="center"/>
            <w:hideMark/>
          </w:tcPr>
          <w:p w14:paraId="1D15862D"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single" w:sz="4" w:space="0" w:color="auto"/>
              <w:left w:val="nil"/>
              <w:bottom w:val="nil"/>
              <w:right w:val="nil"/>
            </w:tcBorders>
            <w:vAlign w:val="center"/>
            <w:hideMark/>
          </w:tcPr>
          <w:p w14:paraId="5DC91FBF"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r w:rsidR="00614C9B" w:rsidRPr="00CA779D" w14:paraId="6FDCD3B2" w14:textId="77777777" w:rsidTr="009436E9">
        <w:trPr>
          <w:trHeight w:val="316"/>
          <w:jc w:val="center"/>
        </w:trPr>
        <w:tc>
          <w:tcPr>
            <w:tcW w:w="1199" w:type="pct"/>
            <w:tcBorders>
              <w:top w:val="nil"/>
              <w:left w:val="nil"/>
              <w:bottom w:val="nil"/>
              <w:right w:val="nil"/>
            </w:tcBorders>
            <w:vAlign w:val="center"/>
            <w:hideMark/>
          </w:tcPr>
          <w:p w14:paraId="6463E6A6"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nil"/>
              <w:left w:val="nil"/>
              <w:bottom w:val="nil"/>
              <w:right w:val="nil"/>
            </w:tcBorders>
            <w:vAlign w:val="center"/>
            <w:hideMark/>
          </w:tcPr>
          <w:p w14:paraId="67946284" w14:textId="1927602D"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p>
        </w:tc>
        <w:tc>
          <w:tcPr>
            <w:tcW w:w="1186" w:type="pct"/>
            <w:tcBorders>
              <w:top w:val="nil"/>
              <w:left w:val="nil"/>
              <w:bottom w:val="nil"/>
              <w:right w:val="nil"/>
            </w:tcBorders>
            <w:vAlign w:val="center"/>
            <w:hideMark/>
          </w:tcPr>
          <w:p w14:paraId="42945797"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nil"/>
              <w:left w:val="nil"/>
              <w:bottom w:val="nil"/>
              <w:right w:val="nil"/>
            </w:tcBorders>
            <w:vAlign w:val="center"/>
            <w:hideMark/>
          </w:tcPr>
          <w:p w14:paraId="4FF11C70"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r w:rsidR="00614C9B" w:rsidRPr="00CA779D" w14:paraId="2E6FC5DE" w14:textId="77777777" w:rsidTr="009436E9">
        <w:trPr>
          <w:trHeight w:val="316"/>
          <w:jc w:val="center"/>
        </w:trPr>
        <w:tc>
          <w:tcPr>
            <w:tcW w:w="1199" w:type="pct"/>
            <w:tcBorders>
              <w:top w:val="nil"/>
              <w:left w:val="nil"/>
              <w:bottom w:val="single" w:sz="4" w:space="0" w:color="auto"/>
              <w:right w:val="nil"/>
            </w:tcBorders>
            <w:vAlign w:val="center"/>
            <w:hideMark/>
          </w:tcPr>
          <w:p w14:paraId="27E3CD2B"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b/>
                <w:bCs/>
                <w:sz w:val="20"/>
                <w:szCs w:val="20"/>
              </w:rPr>
              <w:t>Column 1</w:t>
            </w:r>
          </w:p>
        </w:tc>
        <w:tc>
          <w:tcPr>
            <w:tcW w:w="1341" w:type="pct"/>
            <w:tcBorders>
              <w:top w:val="nil"/>
              <w:left w:val="nil"/>
              <w:bottom w:val="single" w:sz="4" w:space="0" w:color="auto"/>
              <w:right w:val="nil"/>
            </w:tcBorders>
            <w:vAlign w:val="center"/>
            <w:hideMark/>
          </w:tcPr>
          <w:p w14:paraId="6942A85C"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2</w:t>
            </w:r>
          </w:p>
        </w:tc>
        <w:tc>
          <w:tcPr>
            <w:tcW w:w="1186" w:type="pct"/>
            <w:tcBorders>
              <w:top w:val="nil"/>
              <w:left w:val="nil"/>
              <w:bottom w:val="single" w:sz="4" w:space="0" w:color="auto"/>
              <w:right w:val="nil"/>
            </w:tcBorders>
            <w:vAlign w:val="center"/>
            <w:hideMark/>
          </w:tcPr>
          <w:p w14:paraId="3D41C509"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3</w:t>
            </w:r>
          </w:p>
        </w:tc>
        <w:tc>
          <w:tcPr>
            <w:tcW w:w="1274" w:type="pct"/>
            <w:tcBorders>
              <w:top w:val="nil"/>
              <w:left w:val="nil"/>
              <w:bottom w:val="single" w:sz="4" w:space="0" w:color="auto"/>
              <w:right w:val="nil"/>
            </w:tcBorders>
            <w:vAlign w:val="center"/>
            <w:hideMark/>
          </w:tcPr>
          <w:p w14:paraId="1F30CE87" w14:textId="77777777" w:rsidR="000B352C" w:rsidRPr="00CA779D" w:rsidRDefault="000B352C" w:rsidP="00614C9B">
            <w:pPr>
              <w:spacing w:after="0" w:line="276" w:lineRule="auto"/>
              <w:jc w:val="center"/>
              <w:rPr>
                <w:rFonts w:ascii="Times New Roman" w:hAnsi="Times New Roman" w:cs="Times New Roman"/>
                <w:sz w:val="20"/>
                <w:szCs w:val="20"/>
              </w:rPr>
            </w:pPr>
            <w:r w:rsidRPr="00CA779D">
              <w:rPr>
                <w:rFonts w:ascii="Times New Roman" w:hAnsi="Times New Roman" w:cs="Times New Roman"/>
                <w:sz w:val="20"/>
                <w:szCs w:val="20"/>
              </w:rPr>
              <w:t>Column 4</w:t>
            </w:r>
          </w:p>
        </w:tc>
      </w:tr>
    </w:tbl>
    <w:p w14:paraId="5C407065" w14:textId="3B41B126" w:rsidR="00CA779D" w:rsidRPr="00CA779D" w:rsidRDefault="00CA779D" w:rsidP="00EF112C">
      <w:pPr>
        <w:spacing w:after="0" w:line="276" w:lineRule="auto"/>
        <w:rPr>
          <w:rFonts w:ascii="Times New Roman" w:hAnsi="Times New Roman" w:cs="Times New Roman"/>
          <w:sz w:val="20"/>
          <w:szCs w:val="20"/>
        </w:rPr>
      </w:pPr>
      <w:r w:rsidRPr="00CA779D">
        <w:rPr>
          <w:rFonts w:ascii="Times New Roman" w:hAnsi="Times New Roman" w:cs="Times New Roman"/>
          <w:sz w:val="20"/>
          <w:szCs w:val="20"/>
        </w:rPr>
        <w:t>[a] Table footnote. [b] Table footnote.</w:t>
      </w:r>
    </w:p>
    <w:p w14:paraId="61A323C1" w14:textId="77777777" w:rsidR="000C50B3" w:rsidRPr="000C50B3" w:rsidRDefault="000C50B3" w:rsidP="000C50B3">
      <w:pPr>
        <w:spacing w:after="0" w:line="276" w:lineRule="auto"/>
        <w:ind w:leftChars="100" w:left="240"/>
        <w:rPr>
          <w:rFonts w:ascii="Times New Roman" w:hAnsi="Times New Roman" w:cs="Times New Roman"/>
          <w:sz w:val="20"/>
          <w:szCs w:val="20"/>
        </w:rPr>
      </w:pPr>
    </w:p>
    <w:p w14:paraId="7CE0F3C6" w14:textId="43D89D4D" w:rsidR="002D43D7" w:rsidRDefault="00D77805" w:rsidP="00EF112C">
      <w:pPr>
        <w:spacing w:after="0"/>
        <w:jc w:val="center"/>
      </w:pPr>
      <w:r>
        <w:rPr>
          <w:noProof/>
        </w:rPr>
        <w:drawing>
          <wp:inline distT="0" distB="0" distL="0" distR="0" wp14:anchorId="5392D905" wp14:editId="73C4B31E">
            <wp:extent cx="2600325" cy="2400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1604" cy="2401481"/>
                    </a:xfrm>
                    <a:prstGeom prst="rect">
                      <a:avLst/>
                    </a:prstGeom>
                    <a:noFill/>
                    <a:ln>
                      <a:noFill/>
                    </a:ln>
                  </pic:spPr>
                </pic:pic>
              </a:graphicData>
            </a:graphic>
          </wp:inline>
        </w:drawing>
      </w:r>
    </w:p>
    <w:p w14:paraId="3154264E" w14:textId="348F8B31" w:rsidR="007411A5" w:rsidRDefault="007411A5" w:rsidP="00EF112C">
      <w:pPr>
        <w:spacing w:after="0" w:line="276" w:lineRule="auto"/>
        <w:jc w:val="both"/>
        <w:rPr>
          <w:rFonts w:ascii="Times New Roman" w:hAnsi="Times New Roman" w:cs="Times New Roman"/>
          <w:sz w:val="20"/>
          <w:szCs w:val="20"/>
        </w:rPr>
      </w:pPr>
      <w:r w:rsidRPr="007411A5">
        <w:rPr>
          <w:rFonts w:ascii="Times New Roman" w:hAnsi="Times New Roman" w:cs="Times New Roman"/>
          <w:b/>
          <w:bCs/>
          <w:sz w:val="20"/>
          <w:szCs w:val="20"/>
        </w:rPr>
        <w:t>Figure 1.</w:t>
      </w:r>
      <w:r w:rsidRPr="007411A5">
        <w:rPr>
          <w:rFonts w:ascii="Times New Roman" w:hAnsi="Times New Roman" w:cs="Times New Roman"/>
          <w:sz w:val="20"/>
          <w:szCs w:val="20"/>
        </w:rPr>
        <w:t xml:space="preserve"> Each figure must have a caption that includes the</w:t>
      </w:r>
      <w:r>
        <w:rPr>
          <w:rFonts w:ascii="Times New Roman" w:hAnsi="Times New Roman" w:cs="Times New Roman" w:hint="eastAsia"/>
          <w:sz w:val="20"/>
          <w:szCs w:val="20"/>
        </w:rPr>
        <w:t xml:space="preserve"> </w:t>
      </w:r>
      <w:r w:rsidRPr="007411A5">
        <w:rPr>
          <w:rFonts w:ascii="Times New Roman" w:hAnsi="Times New Roman" w:cs="Times New Roman"/>
          <w:sz w:val="20"/>
          <w:szCs w:val="20"/>
        </w:rPr>
        <w:t>figure number and a brief description, preferably one or two</w:t>
      </w:r>
      <w:r>
        <w:rPr>
          <w:rFonts w:ascii="Times New Roman" w:hAnsi="Times New Roman" w:cs="Times New Roman" w:hint="eastAsia"/>
          <w:sz w:val="20"/>
          <w:szCs w:val="20"/>
        </w:rPr>
        <w:t xml:space="preserve"> </w:t>
      </w:r>
      <w:r w:rsidRPr="007411A5">
        <w:rPr>
          <w:rFonts w:ascii="Times New Roman" w:hAnsi="Times New Roman" w:cs="Times New Roman"/>
          <w:sz w:val="20"/>
          <w:szCs w:val="20"/>
        </w:rPr>
        <w:t>sentences.</w:t>
      </w:r>
    </w:p>
    <w:p w14:paraId="4FEF9765" w14:textId="3AD190C2" w:rsidR="009436E9" w:rsidRDefault="009436E9" w:rsidP="00EF112C">
      <w:pPr>
        <w:pStyle w:val="1"/>
        <w:numPr>
          <w:ilvl w:val="0"/>
          <w:numId w:val="1"/>
        </w:numPr>
        <w:spacing w:beforeLines="100" w:before="240" w:afterLines="100" w:after="240"/>
        <w:ind w:left="0" w:hanging="482"/>
        <w:jc w:val="both"/>
        <w:rPr>
          <w:rFonts w:ascii="Times New Roman" w:hAnsi="Times New Roman" w:cs="Times New Roman"/>
          <w:b/>
          <w:bCs/>
          <w:color w:val="auto"/>
          <w:sz w:val="24"/>
          <w:szCs w:val="24"/>
        </w:rPr>
      </w:pPr>
      <w:r w:rsidRPr="009436E9">
        <w:rPr>
          <w:rFonts w:ascii="Times New Roman" w:hAnsi="Times New Roman" w:cs="Times New Roman"/>
          <w:b/>
          <w:bCs/>
          <w:color w:val="auto"/>
          <w:sz w:val="24"/>
          <w:szCs w:val="24"/>
        </w:rPr>
        <w:t>Conclusion</w:t>
      </w:r>
    </w:p>
    <w:p w14:paraId="72134C2E" w14:textId="46D704B1" w:rsidR="00E31854" w:rsidRDefault="00E31854" w:rsidP="00EF112C">
      <w:pPr>
        <w:spacing w:after="0" w:line="276" w:lineRule="auto"/>
        <w:jc w:val="both"/>
        <w:rPr>
          <w:rFonts w:ascii="Times New Roman" w:hAnsi="Times New Roman" w:cs="Times New Roman"/>
          <w:sz w:val="20"/>
          <w:szCs w:val="20"/>
        </w:rPr>
      </w:pPr>
      <w:r w:rsidRPr="00E31854">
        <w:rPr>
          <w:rFonts w:ascii="Times New Roman" w:hAnsi="Times New Roman" w:cs="Times New Roman"/>
          <w:sz w:val="20"/>
          <w:szCs w:val="20"/>
        </w:rPr>
        <w:t>The conclusion section should appear here.</w:t>
      </w:r>
    </w:p>
    <w:p w14:paraId="7BDD4059" w14:textId="3C5C88DA" w:rsidR="00E31854" w:rsidRDefault="00E31854"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sidRPr="00E31854">
        <w:rPr>
          <w:rFonts w:ascii="Times New Roman" w:hAnsi="Times New Roman" w:cs="Times New Roman"/>
          <w:b/>
          <w:bCs/>
          <w:color w:val="auto"/>
          <w:sz w:val="24"/>
          <w:szCs w:val="24"/>
        </w:rPr>
        <w:t>Acknowledgments</w:t>
      </w:r>
    </w:p>
    <w:p w14:paraId="453A1D70" w14:textId="406DAB74" w:rsidR="00BB0B6C" w:rsidRPr="006D417E" w:rsidRDefault="00BB0B6C" w:rsidP="00EF112C">
      <w:pPr>
        <w:pStyle w:val="a0"/>
        <w:spacing w:before="0" w:after="0" w:line="276" w:lineRule="auto"/>
        <w:jc w:val="both"/>
        <w:rPr>
          <w:rFonts w:ascii="Times New Roman" w:hAnsi="Times New Roman" w:cs="Times New Roman"/>
          <w:sz w:val="20"/>
          <w:szCs w:val="20"/>
        </w:rPr>
      </w:pPr>
      <w:r w:rsidRPr="006D417E">
        <w:rPr>
          <w:rFonts w:ascii="Times New Roman" w:hAnsi="Times New Roman" w:cs="Times New Roman"/>
          <w:sz w:val="20"/>
          <w:szCs w:val="20"/>
        </w:rPr>
        <w:t>Here is the place to acknowledge people, organizations, and</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financing (you may state grant numbers and sponsors here).</w:t>
      </w:r>
    </w:p>
    <w:p w14:paraId="351D5B23" w14:textId="03587091" w:rsidR="00E31854" w:rsidRDefault="00E31854"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sidRPr="00E31854">
        <w:rPr>
          <w:rFonts w:ascii="Times New Roman" w:hAnsi="Times New Roman" w:cs="Times New Roman"/>
          <w:b/>
          <w:bCs/>
          <w:color w:val="auto"/>
          <w:sz w:val="24"/>
          <w:szCs w:val="24"/>
        </w:rPr>
        <w:t>Supporting information</w:t>
      </w:r>
    </w:p>
    <w:p w14:paraId="681065F3" w14:textId="17FBB883" w:rsidR="006D417E" w:rsidRPr="006D417E" w:rsidRDefault="006D417E" w:rsidP="00EF112C">
      <w:pPr>
        <w:pStyle w:val="a0"/>
        <w:spacing w:before="0" w:after="0" w:line="276" w:lineRule="auto"/>
        <w:jc w:val="both"/>
        <w:rPr>
          <w:rFonts w:ascii="Times New Roman" w:hAnsi="Times New Roman" w:cs="Times New Roman"/>
          <w:sz w:val="20"/>
          <w:szCs w:val="20"/>
        </w:rPr>
      </w:pPr>
      <w:r w:rsidRPr="006D417E">
        <w:rPr>
          <w:rFonts w:ascii="Times New Roman" w:hAnsi="Times New Roman" w:cs="Times New Roman"/>
          <w:sz w:val="20"/>
          <w:szCs w:val="20"/>
        </w:rPr>
        <w:t>The online version contains supplementary material available at</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website xxx. A listing of the contents of each file supplied as</w:t>
      </w:r>
      <w:r w:rsidR="0022131B">
        <w:rPr>
          <w:rFonts w:ascii="Times New Roman" w:hAnsi="Times New Roman" w:cs="Times New Roman" w:hint="eastAsia"/>
          <w:sz w:val="20"/>
          <w:szCs w:val="20"/>
        </w:rPr>
        <w:t xml:space="preserve"> </w:t>
      </w:r>
      <w:r w:rsidRPr="006D417E">
        <w:rPr>
          <w:rFonts w:ascii="Times New Roman" w:hAnsi="Times New Roman" w:cs="Times New Roman"/>
          <w:sz w:val="20"/>
          <w:szCs w:val="20"/>
        </w:rPr>
        <w:t>Supporting Information should be included.</w:t>
      </w:r>
    </w:p>
    <w:p w14:paraId="6688B85C" w14:textId="563F1E19" w:rsidR="00E31854" w:rsidRDefault="00BB0B6C"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Pr>
          <w:rFonts w:ascii="Times New Roman" w:hAnsi="Times New Roman" w:cs="Times New Roman" w:hint="eastAsia"/>
          <w:b/>
          <w:bCs/>
          <w:color w:val="auto"/>
          <w:sz w:val="24"/>
          <w:szCs w:val="24"/>
        </w:rPr>
        <w:t>Notes</w:t>
      </w:r>
    </w:p>
    <w:p w14:paraId="55A71A79" w14:textId="766906BC" w:rsidR="006D417E" w:rsidRPr="006D417E" w:rsidRDefault="006D417E" w:rsidP="00EF112C">
      <w:pPr>
        <w:pStyle w:val="a0"/>
        <w:spacing w:before="0" w:after="0" w:line="276" w:lineRule="auto"/>
        <w:rPr>
          <w:rFonts w:ascii="Times New Roman" w:hAnsi="Times New Roman" w:cs="Times New Roman"/>
          <w:sz w:val="20"/>
          <w:szCs w:val="20"/>
        </w:rPr>
      </w:pPr>
      <w:r w:rsidRPr="006D417E">
        <w:rPr>
          <w:rFonts w:ascii="Times New Roman" w:hAnsi="Times New Roman" w:cs="Times New Roman"/>
          <w:sz w:val="20"/>
          <w:szCs w:val="20"/>
        </w:rPr>
        <w:t>The authors declare no competing financial interest.</w:t>
      </w:r>
    </w:p>
    <w:p w14:paraId="3889F746" w14:textId="007E93A7" w:rsidR="000576D5" w:rsidRDefault="00BB0B6C" w:rsidP="00EF112C">
      <w:pPr>
        <w:pStyle w:val="1"/>
        <w:tabs>
          <w:tab w:val="left" w:pos="964"/>
        </w:tabs>
        <w:spacing w:beforeLines="100" w:before="240" w:afterLines="100" w:after="240"/>
        <w:jc w:val="both"/>
        <w:rPr>
          <w:rFonts w:ascii="Times New Roman" w:hAnsi="Times New Roman" w:cs="Times New Roman"/>
          <w:b/>
          <w:bCs/>
          <w:color w:val="auto"/>
          <w:sz w:val="24"/>
          <w:szCs w:val="24"/>
        </w:rPr>
      </w:pPr>
      <w:r>
        <w:rPr>
          <w:rFonts w:ascii="Times New Roman" w:hAnsi="Times New Roman" w:cs="Times New Roman" w:hint="eastAsia"/>
          <w:b/>
          <w:bCs/>
          <w:color w:val="auto"/>
          <w:sz w:val="24"/>
          <w:szCs w:val="24"/>
        </w:rPr>
        <w:lastRenderedPageBreak/>
        <w:t>References</w:t>
      </w:r>
      <w:bookmarkEnd w:id="1"/>
      <w:bookmarkEnd w:id="2"/>
    </w:p>
    <w:p w14:paraId="47D07D00" w14:textId="2603C32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[1] Berger M. J. and Colella P., Local adaptive mesh refinement</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for shock hydrodynamics, </w:t>
      </w:r>
      <w:r w:rsidRPr="00493E6D">
        <w:rPr>
          <w:rFonts w:ascii="Times New Roman" w:hAnsi="Times New Roman" w:cs="Times New Roman"/>
          <w:i/>
          <w:iCs/>
          <w:sz w:val="20"/>
          <w:szCs w:val="20"/>
        </w:rPr>
        <w:t xml:space="preserve">J. </w:t>
      </w:r>
      <w:proofErr w:type="spellStart"/>
      <w:r w:rsidRPr="00493E6D">
        <w:rPr>
          <w:rFonts w:ascii="Times New Roman" w:hAnsi="Times New Roman" w:cs="Times New Roman"/>
          <w:i/>
          <w:iCs/>
          <w:sz w:val="20"/>
          <w:szCs w:val="20"/>
        </w:rPr>
        <w:t>Comput</w:t>
      </w:r>
      <w:proofErr w:type="spellEnd"/>
      <w:r w:rsidRPr="00493E6D">
        <w:rPr>
          <w:rFonts w:ascii="Times New Roman" w:hAnsi="Times New Roman" w:cs="Times New Roman"/>
          <w:i/>
          <w:iCs/>
          <w:sz w:val="20"/>
          <w:szCs w:val="20"/>
        </w:rPr>
        <w:t>. Phys.</w:t>
      </w:r>
      <w:r w:rsidRPr="00A3087C">
        <w:rPr>
          <w:rFonts w:ascii="Times New Roman" w:hAnsi="Times New Roman" w:cs="Times New Roman"/>
          <w:sz w:val="20"/>
          <w:szCs w:val="20"/>
        </w:rPr>
        <w:t xml:space="preserve">, </w:t>
      </w:r>
      <w:r w:rsidRPr="00493E6D">
        <w:rPr>
          <w:rFonts w:ascii="Times New Roman" w:hAnsi="Times New Roman" w:cs="Times New Roman"/>
          <w:b/>
          <w:bCs/>
          <w:sz w:val="20"/>
          <w:szCs w:val="20"/>
        </w:rPr>
        <w:t>82</w:t>
      </w:r>
      <w:r w:rsidRPr="00A3087C">
        <w:rPr>
          <w:rFonts w:ascii="Times New Roman" w:hAnsi="Times New Roman" w:cs="Times New Roman"/>
          <w:sz w:val="20"/>
          <w:szCs w:val="20"/>
        </w:rPr>
        <w:t xml:space="preserve"> (1989),</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62–84.</w:t>
      </w:r>
    </w:p>
    <w:p w14:paraId="03DEF006" w14:textId="4507D9A5"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[2] Tan Z. J., Tang T. and Zhang Z. R., A simple moving mesh</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method for one- and two-dimensional phase-field equations,</w:t>
      </w:r>
      <w:r w:rsidR="00493E6D">
        <w:rPr>
          <w:rFonts w:ascii="Times New Roman" w:hAnsi="Times New Roman" w:cs="Times New Roman" w:hint="eastAsia"/>
          <w:sz w:val="20"/>
          <w:szCs w:val="20"/>
        </w:rPr>
        <w:t xml:space="preserve"> </w:t>
      </w:r>
      <w:r w:rsidRPr="00493E6D">
        <w:rPr>
          <w:rFonts w:ascii="Times New Roman" w:hAnsi="Times New Roman" w:cs="Times New Roman"/>
          <w:i/>
          <w:iCs/>
          <w:sz w:val="20"/>
          <w:szCs w:val="20"/>
        </w:rPr>
        <w:t xml:space="preserve">J. </w:t>
      </w:r>
      <w:proofErr w:type="spellStart"/>
      <w:r w:rsidRPr="00493E6D">
        <w:rPr>
          <w:rFonts w:ascii="Times New Roman" w:hAnsi="Times New Roman" w:cs="Times New Roman"/>
          <w:i/>
          <w:iCs/>
          <w:sz w:val="20"/>
          <w:szCs w:val="20"/>
        </w:rPr>
        <w:t>Comput</w:t>
      </w:r>
      <w:proofErr w:type="spellEnd"/>
      <w:r w:rsidRPr="00493E6D">
        <w:rPr>
          <w:rFonts w:ascii="Times New Roman" w:hAnsi="Times New Roman" w:cs="Times New Roman"/>
          <w:i/>
          <w:iCs/>
          <w:sz w:val="20"/>
          <w:szCs w:val="20"/>
        </w:rPr>
        <w:t>. Appl. Math.</w:t>
      </w:r>
      <w:r w:rsidRPr="00A3087C">
        <w:rPr>
          <w:rFonts w:ascii="Times New Roman" w:hAnsi="Times New Roman" w:cs="Times New Roman"/>
          <w:sz w:val="20"/>
          <w:szCs w:val="20"/>
        </w:rPr>
        <w:t>, To appear.</w:t>
      </w:r>
    </w:p>
    <w:p w14:paraId="615DBCD6" w14:textId="0992EE04"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 xml:space="preserve">[3] McKechnie S., Frost J. M., </w:t>
      </w:r>
      <w:proofErr w:type="spellStart"/>
      <w:r w:rsidRPr="00A3087C">
        <w:rPr>
          <w:rFonts w:ascii="Times New Roman" w:hAnsi="Times New Roman" w:cs="Times New Roman"/>
          <w:sz w:val="20"/>
          <w:szCs w:val="20"/>
        </w:rPr>
        <w:t>Pashov</w:t>
      </w:r>
      <w:proofErr w:type="spellEnd"/>
      <w:r w:rsidRPr="00A3087C">
        <w:rPr>
          <w:rFonts w:ascii="Times New Roman" w:hAnsi="Times New Roman" w:cs="Times New Roman"/>
          <w:sz w:val="20"/>
          <w:szCs w:val="20"/>
        </w:rPr>
        <w:t xml:space="preserve"> D., </w:t>
      </w:r>
      <w:proofErr w:type="spellStart"/>
      <w:r w:rsidRPr="00A3087C">
        <w:rPr>
          <w:rFonts w:ascii="Times New Roman" w:hAnsi="Times New Roman" w:cs="Times New Roman"/>
          <w:sz w:val="20"/>
          <w:szCs w:val="20"/>
        </w:rPr>
        <w:t>Azarhoosh</w:t>
      </w:r>
      <w:proofErr w:type="spellEnd"/>
      <w:r w:rsidRPr="00A3087C">
        <w:rPr>
          <w:rFonts w:ascii="Times New Roman" w:hAnsi="Times New Roman" w:cs="Times New Roman"/>
          <w:sz w:val="20"/>
          <w:szCs w:val="20"/>
        </w:rPr>
        <w:t xml:space="preserve"> P.,</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Walsh A. and </w:t>
      </w:r>
      <w:proofErr w:type="spellStart"/>
      <w:r w:rsidRPr="00A3087C">
        <w:rPr>
          <w:rFonts w:ascii="Times New Roman" w:hAnsi="Times New Roman" w:cs="Times New Roman"/>
          <w:sz w:val="20"/>
          <w:szCs w:val="20"/>
        </w:rPr>
        <w:t>Schilfgaarde</w:t>
      </w:r>
      <w:proofErr w:type="spellEnd"/>
      <w:r w:rsidRPr="00A3087C">
        <w:rPr>
          <w:rFonts w:ascii="Times New Roman" w:hAnsi="Times New Roman" w:cs="Times New Roman"/>
          <w:sz w:val="20"/>
          <w:szCs w:val="20"/>
        </w:rPr>
        <w:t xml:space="preserve"> M., Dynamic symmetry breaking</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and spin splitting in metal halide perovskites, 2017, DOI:</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10.48550/arXiv.1711.00533.</w:t>
      </w:r>
    </w:p>
    <w:p w14:paraId="1513633F" w14:textId="65FB0EFC"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[4] de Boor C., Good approximation by splines with variable</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knots II, In </w:t>
      </w:r>
      <w:r w:rsidRPr="002A6178">
        <w:rPr>
          <w:rFonts w:ascii="Times New Roman" w:hAnsi="Times New Roman" w:cs="Times New Roman"/>
          <w:i/>
          <w:iCs/>
          <w:sz w:val="20"/>
          <w:szCs w:val="20"/>
        </w:rPr>
        <w:t>Springer Lecture Notes Series 363</w:t>
      </w:r>
      <w:r w:rsidRPr="00A3087C">
        <w:rPr>
          <w:rFonts w:ascii="Times New Roman" w:hAnsi="Times New Roman" w:cs="Times New Roman"/>
          <w:sz w:val="20"/>
          <w:szCs w:val="20"/>
        </w:rPr>
        <w:t xml:space="preserve">, </w:t>
      </w:r>
      <w:proofErr w:type="spellStart"/>
      <w:r w:rsidRPr="00A3087C">
        <w:rPr>
          <w:rFonts w:ascii="Times New Roman" w:hAnsi="Times New Roman" w:cs="Times New Roman"/>
          <w:sz w:val="20"/>
          <w:szCs w:val="20"/>
        </w:rPr>
        <w:t>SpringerVerlag</w:t>
      </w:r>
      <w:proofErr w:type="spellEnd"/>
      <w:r w:rsidRPr="00A3087C">
        <w:rPr>
          <w:rFonts w:ascii="Times New Roman" w:hAnsi="Times New Roman" w:cs="Times New Roman"/>
          <w:sz w:val="20"/>
          <w:szCs w:val="20"/>
        </w:rPr>
        <w:t>, Berlin, 1973.</w:t>
      </w:r>
    </w:p>
    <w:p w14:paraId="3754AF31" w14:textId="248633F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[5] Tullius T. D., Supramolecular reactivity and transport:</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 xml:space="preserve">Bioinorganic systems, In </w:t>
      </w:r>
      <w:r w:rsidRPr="002A6178">
        <w:rPr>
          <w:rFonts w:ascii="Times New Roman" w:hAnsi="Times New Roman" w:cs="Times New Roman"/>
          <w:i/>
          <w:iCs/>
          <w:sz w:val="20"/>
          <w:szCs w:val="20"/>
        </w:rPr>
        <w:t>Comprehensive Supramolecular</w:t>
      </w:r>
      <w:r w:rsidR="00493E6D" w:rsidRPr="002A6178">
        <w:rPr>
          <w:rFonts w:ascii="Times New Roman" w:hAnsi="Times New Roman" w:cs="Times New Roman" w:hint="eastAsia"/>
          <w:i/>
          <w:iCs/>
          <w:sz w:val="20"/>
          <w:szCs w:val="20"/>
        </w:rPr>
        <w:t xml:space="preserve"> </w:t>
      </w:r>
      <w:r w:rsidRPr="002A6178">
        <w:rPr>
          <w:rFonts w:ascii="Times New Roman" w:hAnsi="Times New Roman" w:cs="Times New Roman"/>
          <w:i/>
          <w:iCs/>
          <w:sz w:val="20"/>
          <w:szCs w:val="20"/>
        </w:rPr>
        <w:t>Chemistry</w:t>
      </w:r>
      <w:r w:rsidRPr="00A3087C">
        <w:rPr>
          <w:rFonts w:ascii="Times New Roman" w:hAnsi="Times New Roman" w:cs="Times New Roman"/>
          <w:sz w:val="20"/>
          <w:szCs w:val="20"/>
        </w:rPr>
        <w:t xml:space="preserve">, Vol. </w:t>
      </w:r>
      <w:r w:rsidRPr="004A243D">
        <w:rPr>
          <w:rFonts w:ascii="Times New Roman" w:hAnsi="Times New Roman" w:cs="Times New Roman"/>
          <w:b/>
          <w:bCs/>
          <w:sz w:val="20"/>
          <w:szCs w:val="20"/>
        </w:rPr>
        <w:t>5</w:t>
      </w:r>
      <w:r w:rsidRPr="00A3087C">
        <w:rPr>
          <w:rFonts w:ascii="Times New Roman" w:hAnsi="Times New Roman" w:cs="Times New Roman"/>
          <w:sz w:val="20"/>
          <w:szCs w:val="20"/>
        </w:rPr>
        <w:t>, (Eds. Atwood J. L., Davies J. E. D.,</w:t>
      </w:r>
      <w:r w:rsidR="00493E6D">
        <w:rPr>
          <w:rFonts w:ascii="Times New Roman" w:hAnsi="Times New Roman" w:cs="Times New Roman" w:hint="eastAsia"/>
          <w:sz w:val="20"/>
          <w:szCs w:val="20"/>
        </w:rPr>
        <w:t xml:space="preserve"> </w:t>
      </w:r>
      <w:proofErr w:type="spellStart"/>
      <w:r w:rsidRPr="00A3087C">
        <w:rPr>
          <w:rFonts w:ascii="Times New Roman" w:hAnsi="Times New Roman" w:cs="Times New Roman"/>
          <w:sz w:val="20"/>
          <w:szCs w:val="20"/>
        </w:rPr>
        <w:t>MacNicol</w:t>
      </w:r>
      <w:proofErr w:type="spellEnd"/>
      <w:r w:rsidRPr="00A3087C">
        <w:rPr>
          <w:rFonts w:ascii="Times New Roman" w:hAnsi="Times New Roman" w:cs="Times New Roman"/>
          <w:sz w:val="20"/>
          <w:szCs w:val="20"/>
        </w:rPr>
        <w:t xml:space="preserve"> D. D., </w:t>
      </w:r>
      <w:proofErr w:type="spellStart"/>
      <w:r w:rsidRPr="00A3087C">
        <w:rPr>
          <w:rFonts w:ascii="Times New Roman" w:hAnsi="Times New Roman" w:cs="Times New Roman"/>
          <w:sz w:val="20"/>
          <w:szCs w:val="20"/>
        </w:rPr>
        <w:t>Vögtle</w:t>
      </w:r>
      <w:proofErr w:type="spellEnd"/>
      <w:r w:rsidRPr="00A3087C">
        <w:rPr>
          <w:rFonts w:ascii="Times New Roman" w:hAnsi="Times New Roman" w:cs="Times New Roman"/>
          <w:sz w:val="20"/>
          <w:szCs w:val="20"/>
        </w:rPr>
        <w:t xml:space="preserve"> F. and </w:t>
      </w:r>
      <w:proofErr w:type="spellStart"/>
      <w:r w:rsidRPr="00A3087C">
        <w:rPr>
          <w:rFonts w:ascii="Times New Roman" w:hAnsi="Times New Roman" w:cs="Times New Roman"/>
          <w:sz w:val="20"/>
          <w:szCs w:val="20"/>
        </w:rPr>
        <w:t>Suslick</w:t>
      </w:r>
      <w:proofErr w:type="spellEnd"/>
      <w:r w:rsidRPr="00A3087C">
        <w:rPr>
          <w:rFonts w:ascii="Times New Roman" w:hAnsi="Times New Roman" w:cs="Times New Roman"/>
          <w:sz w:val="20"/>
          <w:szCs w:val="20"/>
        </w:rPr>
        <w:t xml:space="preserve"> K. S.), Pergamon,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Oxford, 1996, pp. 317–343.</w:t>
      </w:r>
    </w:p>
    <w:p w14:paraId="744FC8D7" w14:textId="26CBC4E8"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 xml:space="preserve">[6] Doe J., </w:t>
      </w:r>
      <w:r w:rsidRPr="002A6178">
        <w:rPr>
          <w:rFonts w:ascii="Times New Roman" w:hAnsi="Times New Roman" w:cs="Times New Roman"/>
          <w:sz w:val="20"/>
          <w:szCs w:val="20"/>
        </w:rPr>
        <w:t>Dataset title</w:t>
      </w:r>
      <w:r w:rsidRPr="00A3087C">
        <w:rPr>
          <w:rFonts w:ascii="Times New Roman" w:hAnsi="Times New Roman" w:cs="Times New Roman"/>
          <w:sz w:val="20"/>
          <w:szCs w:val="20"/>
        </w:rPr>
        <w:t>, Year, DOI: persistent identifier (e.g.</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DOI).</w:t>
      </w:r>
    </w:p>
    <w:p w14:paraId="17011CAC" w14:textId="6EEDED22" w:rsidR="00A3087C"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 xml:space="preserve">[7] </w:t>
      </w:r>
      <w:proofErr w:type="spellStart"/>
      <w:r w:rsidRPr="00A3087C">
        <w:rPr>
          <w:rFonts w:ascii="Times New Roman" w:hAnsi="Times New Roman" w:cs="Times New Roman"/>
          <w:sz w:val="20"/>
          <w:szCs w:val="20"/>
        </w:rPr>
        <w:t>Sheldrick</w:t>
      </w:r>
      <w:proofErr w:type="spellEnd"/>
      <w:r w:rsidRPr="00A3087C">
        <w:rPr>
          <w:rFonts w:ascii="Times New Roman" w:hAnsi="Times New Roman" w:cs="Times New Roman"/>
          <w:sz w:val="20"/>
          <w:szCs w:val="20"/>
        </w:rPr>
        <w:t xml:space="preserve"> G. M., SHELXS-96, program for the solution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of crystal structures, University of Göttingen, Göttingen,</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Germany, 1996.</w:t>
      </w:r>
    </w:p>
    <w:p w14:paraId="7BA53FA7" w14:textId="5EF068FF" w:rsidR="00681EE7" w:rsidRPr="00A3087C" w:rsidRDefault="00A3087C" w:rsidP="00EF112C">
      <w:pPr>
        <w:pStyle w:val="a0"/>
        <w:spacing w:before="0" w:after="0" w:line="276" w:lineRule="auto"/>
        <w:jc w:val="both"/>
        <w:rPr>
          <w:rFonts w:ascii="Times New Roman" w:hAnsi="Times New Roman" w:cs="Times New Roman"/>
          <w:sz w:val="20"/>
          <w:szCs w:val="20"/>
        </w:rPr>
      </w:pPr>
      <w:r w:rsidRPr="00A3087C">
        <w:rPr>
          <w:rFonts w:ascii="Times New Roman" w:hAnsi="Times New Roman" w:cs="Times New Roman"/>
          <w:sz w:val="20"/>
          <w:szCs w:val="20"/>
        </w:rPr>
        <w:t>[8] Tullius T. D., Title of PhD thesis, University of Newcastle,</w:t>
      </w:r>
      <w:r w:rsidR="00493E6D">
        <w:rPr>
          <w:rFonts w:ascii="Times New Roman" w:hAnsi="Times New Roman" w:cs="Times New Roman" w:hint="eastAsia"/>
          <w:sz w:val="20"/>
          <w:szCs w:val="20"/>
        </w:rPr>
        <w:t xml:space="preserve"> </w:t>
      </w:r>
      <w:r w:rsidRPr="00A3087C">
        <w:rPr>
          <w:rFonts w:ascii="Times New Roman" w:hAnsi="Times New Roman" w:cs="Times New Roman"/>
          <w:sz w:val="20"/>
          <w:szCs w:val="20"/>
        </w:rPr>
        <w:t>UK, 1991.</w:t>
      </w:r>
    </w:p>
    <w:sectPr w:rsidR="00681EE7" w:rsidRPr="00A3087C" w:rsidSect="00974089">
      <w:headerReference w:type="even" r:id="rId16"/>
      <w:headerReference w:type="default" r:id="rId17"/>
      <w:headerReference w:type="first" r:id="rId18"/>
      <w:footnotePr>
        <w:numRestart w:val="eachSect"/>
      </w:footnotePr>
      <w:type w:val="continuous"/>
      <w:pgSz w:w="11907" w:h="16840" w:code="9"/>
      <w:pgMar w:top="1417" w:right="851" w:bottom="1417" w:left="851" w:header="720" w:footer="720" w:gutter="0"/>
      <w:pgNumType w:fmt="decimalFullWidth"/>
      <w:cols w:num="2"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9BA3" w14:textId="77777777" w:rsidR="00A25894" w:rsidRDefault="00A25894">
      <w:pPr>
        <w:spacing w:after="0"/>
      </w:pPr>
      <w:r>
        <w:separator/>
      </w:r>
    </w:p>
  </w:endnote>
  <w:endnote w:type="continuationSeparator" w:id="0">
    <w:p w14:paraId="079C1D1F" w14:textId="77777777" w:rsidR="00A25894" w:rsidRDefault="00A258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altName w:val="苹方-简"/>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eXGyreTermesX-Italic">
    <w:altName w:val="Calibri"/>
    <w:charset w:val="00"/>
    <w:family w:val="auto"/>
    <w:pitch w:val="default"/>
  </w:font>
  <w:font w:name="TeXGyreTermesX-Regular">
    <w:altName w:val="Calibri"/>
    <w:charset w:val="00"/>
    <w:family w:val="auto"/>
    <w:pitch w:val="default"/>
  </w:font>
  <w:font w:name="TeXGyreTermesX-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B" w14:textId="77777777" w:rsidR="000576D5" w:rsidRDefault="00A25894">
    <w:pPr>
      <w:pStyle w:val="aa"/>
    </w:pPr>
    <w:r>
      <w:pict w14:anchorId="3889F757">
        <v:shapetype id="_x0000_t202" coordsize="21600,21600" o:spt="202" path="m,l,21600r21600,l21600,xe">
          <v:stroke joinstyle="miter"/>
          <v:path gradientshapeok="t" o:connecttype="rect"/>
        </v:shapetype>
        <v:shape id="_x0000_s3075" type="#_x0000_t202" style="position:absolute;margin-left:0;margin-top:0;width:2in;height:2in;z-index:251660288;mso-wrap-style:none;mso-position-horizontal:center;mso-position-horizontal-relative:margin;mso-width-relative:page;mso-height-relative:page" filled="f" stroked="f">
          <v:textbox style="mso-next-textbox:#_x0000_s3075;mso-fit-shape-to-text:t" inset="0,0,0,0">
            <w:txbxContent>
              <w:p w14:paraId="3889F75C" w14:textId="77777777" w:rsidR="000576D5" w:rsidRDefault="007D044B">
                <w:pPr>
                  <w:pStyle w:val="aa"/>
                </w:pPr>
                <w:r>
                  <w:fldChar w:fldCharType="begin"/>
                </w:r>
                <w:r>
                  <w:instrText xml:space="preserve"> PAGE  \* MERGEFORMAT </w:instrText>
                </w:r>
                <w:r>
                  <w:fldChar w:fldCharType="separate"/>
                </w:r>
                <w:r>
                  <w:t>２</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C" w14:textId="77777777" w:rsidR="000576D5" w:rsidRDefault="00A25894">
    <w:pPr>
      <w:pStyle w:val="aa"/>
      <w:jc w:val="center"/>
      <w:rPr>
        <w:rFonts w:ascii="Times New Roman" w:hAnsi="Times New Roman" w:cs="Times New Roman"/>
      </w:rPr>
    </w:pPr>
    <w:r>
      <w:rPr>
        <w:rFonts w:ascii="Times New Roman" w:hAnsi="Times New Roman" w:cs="Times New Roman"/>
      </w:rPr>
      <w:pict w14:anchorId="3889F758">
        <v:shapetype id="_x0000_t202" coordsize="21600,21600" o:spt="202" path="m,l,21600r21600,l21600,xe">
          <v:stroke joinstyle="miter"/>
          <v:path gradientshapeok="t" o:connecttype="rect"/>
        </v:shapetype>
        <v:shape id="_x0000_s3074" type="#_x0000_t202" style="position:absolute;left:0;text-align:left;margin-left:0;margin-top:0;width:2in;height:2in;z-index:251659264;mso-wrap-style:none;mso-position-horizontal:center;mso-position-horizontal-relative:margin;mso-width-relative:page;mso-height-relative:page" filled="f" stroked="f">
          <v:textbox style="mso-next-textbox:#_x0000_s3074;mso-fit-shape-to-text:t" inset="0,0,0,0">
            <w:txbxContent>
              <w:p w14:paraId="3889F75B" w14:textId="77777777" w:rsidR="000576D5" w:rsidRDefault="007D044B">
                <w:pPr>
                  <w:pStyle w:val="a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0" w14:textId="77777777" w:rsidR="000576D5" w:rsidRDefault="00A25894">
    <w:pPr>
      <w:pStyle w:val="aa"/>
    </w:pPr>
    <w:r>
      <w:pict w14:anchorId="3889F759">
        <v:shapetype id="_x0000_t202" coordsize="21600,21600" o:spt="202" path="m,l,21600r21600,l21600,xe">
          <v:stroke joinstyle="miter"/>
          <v:path gradientshapeok="t" o:connecttype="rect"/>
        </v:shapetype>
        <v:shape id="_x0000_s3073" type="#_x0000_t202" style="position:absolute;margin-left:0;margin-top:0;width:2in;height:2in;z-index:251661312;mso-wrap-style:none;mso-position-horizontal:center;mso-position-horizontal-relative:margin;mso-width-relative:page;mso-height-relative:page" filled="f" stroked="f">
          <v:textbox style="mso-next-textbox:#_x0000_s3073;mso-fit-shape-to-text:t" inset="0,0,0,0">
            <w:txbxContent>
              <w:p w14:paraId="3889F75A" w14:textId="77777777" w:rsidR="000576D5" w:rsidRDefault="007D044B">
                <w:pPr>
                  <w:pStyle w:val="aa"/>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１</w:t>
                </w:r>
                <w:r>
                  <w:rPr>
                    <w:rFonts w:ascii="Times New Roman" w:hAnsi="Times New Roman" w:cs="Times New Roma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6495" w14:textId="77777777" w:rsidR="00A25894" w:rsidRDefault="00A25894">
      <w:pPr>
        <w:spacing w:after="0"/>
      </w:pPr>
      <w:r>
        <w:separator/>
      </w:r>
    </w:p>
  </w:footnote>
  <w:footnote w:type="continuationSeparator" w:id="0">
    <w:p w14:paraId="3E802053" w14:textId="77777777" w:rsidR="00A25894" w:rsidRDefault="00A258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9" w14:textId="77777777" w:rsidR="000576D5" w:rsidRDefault="007D044B">
    <w:pPr>
      <w:pStyle w:val="a0"/>
      <w:spacing w:before="0" w:after="0"/>
      <w:ind w:left="9"/>
      <w:jc w:val="both"/>
      <w:rPr>
        <w:rFonts w:ascii="Palatino Linotype" w:hAnsi="Palatino Linotype" w:cs="Palatino Linotype"/>
        <w:b/>
        <w:bCs/>
        <w:i/>
        <w:iCs/>
        <w:sz w:val="18"/>
        <w:szCs w:val="18"/>
      </w:rPr>
    </w:pPr>
    <w:proofErr w:type="spellStart"/>
    <w:r>
      <w:rPr>
        <w:rFonts w:ascii="Palatino Linotype" w:hAnsi="Palatino Linotype" w:cs="Palatino Linotype"/>
        <w:b/>
        <w:bCs/>
        <w:i/>
        <w:iCs/>
        <w:sz w:val="18"/>
        <w:szCs w:val="18"/>
      </w:rPr>
      <w:t>Commun</w:t>
    </w:r>
    <w:proofErr w:type="spellEnd"/>
    <w:r>
      <w:rPr>
        <w:rFonts w:ascii="Palatino Linotype" w:hAnsi="Palatino Linotype" w:cs="Palatino Linotype"/>
        <w:b/>
        <w:bCs/>
        <w:i/>
        <w:iCs/>
        <w:sz w:val="18"/>
        <w:szCs w:val="18"/>
      </w:rPr>
      <w:t xml:space="preserve">. </w:t>
    </w:r>
    <w:proofErr w:type="spellStart"/>
    <w:r>
      <w:rPr>
        <w:rFonts w:ascii="Palatino Linotype" w:hAnsi="Palatino Linotype" w:cs="Palatino Linotype"/>
        <w:b/>
        <w:bCs/>
        <w:i/>
        <w:iCs/>
        <w:sz w:val="18"/>
        <w:szCs w:val="18"/>
      </w:rPr>
      <w:t>Comput</w:t>
    </w:r>
    <w:proofErr w:type="spellEnd"/>
    <w:r>
      <w:rPr>
        <w:rFonts w:ascii="Palatino Linotype" w:hAnsi="Palatino Linotype" w:cs="Palatino Linotype"/>
        <w:b/>
        <w:bCs/>
        <w:i/>
        <w:iCs/>
        <w:sz w:val="18"/>
        <w:szCs w:val="18"/>
      </w:rPr>
      <w:t xml:space="preserve">. </w:t>
    </w:r>
    <w:proofErr w:type="gramStart"/>
    <w:r>
      <w:rPr>
        <w:rFonts w:ascii="Palatino Linotype" w:hAnsi="Palatino Linotype" w:cs="Palatino Linotype"/>
        <w:b/>
        <w:bCs/>
        <w:i/>
        <w:iCs/>
        <w:sz w:val="18"/>
        <w:szCs w:val="18"/>
      </w:rPr>
      <w:t>Chem</w:t>
    </w:r>
    <w:r>
      <w:rPr>
        <w:rFonts w:ascii="Palatino Linotype" w:hAnsi="Palatino Linotype" w:cs="Palatino Linotype" w:hint="eastAsia"/>
        <w:b/>
        <w:bCs/>
        <w:i/>
        <w:iCs/>
        <w:sz w:val="18"/>
        <w:szCs w:val="18"/>
      </w:rPr>
      <w:t>.,</w:t>
    </w:r>
    <w:r>
      <w:rPr>
        <w:rFonts w:ascii="Palatino Linotype" w:hAnsi="Palatino Linotype" w:cs="Palatino Linotype"/>
        <w:b/>
        <w:bCs/>
        <w:i/>
        <w:iCs/>
        <w:spacing w:val="-1"/>
        <w:sz w:val="18"/>
        <w:szCs w:val="18"/>
      </w:rPr>
      <w:t>Vol.</w:t>
    </w:r>
    <w:proofErr w:type="gramEnd"/>
    <w:r>
      <w:rPr>
        <w:rFonts w:ascii="Palatino Linotype" w:hAnsi="Palatino Linotype" w:cs="Palatino Linotype"/>
        <w:b/>
        <w:bCs/>
        <w:i/>
        <w:iCs/>
        <w:spacing w:val="-1"/>
        <w:sz w:val="18"/>
        <w:szCs w:val="18"/>
      </w:rPr>
      <w:t>6, No.1, pp.1-12</w:t>
    </w:r>
  </w:p>
  <w:p w14:paraId="3889F74A" w14:textId="77777777" w:rsidR="000576D5" w:rsidRDefault="007D044B">
    <w:pPr>
      <w:pStyle w:val="a0"/>
      <w:spacing w:before="0" w:after="0"/>
      <w:ind w:left="10"/>
      <w:jc w:val="both"/>
      <w:rPr>
        <w:rFonts w:ascii="Palatino Linotype" w:hAnsi="Palatino Linotype" w:cs="Palatino Linotype"/>
        <w:b/>
        <w:bCs/>
        <w:spacing w:val="-1"/>
        <w:sz w:val="18"/>
        <w:szCs w:val="18"/>
      </w:rPr>
    </w:pPr>
    <w:r>
      <w:rPr>
        <w:rFonts w:ascii="Palatino Linotype" w:hAnsi="Palatino Linotype" w:cs="Palatino Linotype"/>
        <w:b/>
        <w:bCs/>
        <w:sz w:val="18"/>
        <w:szCs w:val="18"/>
        <w:lang w:val="fr-FR"/>
      </w:rPr>
      <w:t>doi:</w:t>
    </w:r>
    <w:r>
      <w:rPr>
        <w:rFonts w:ascii="Palatino Linotype" w:hAnsi="Palatino Linotype" w:cs="Palatino Linotype"/>
        <w:b/>
        <w:bCs/>
        <w:spacing w:val="12"/>
        <w:sz w:val="18"/>
        <w:szCs w:val="18"/>
        <w:lang w:val="fr-FR"/>
      </w:rPr>
      <w:t xml:space="preserve"> </w:t>
    </w:r>
    <w:r>
      <w:rPr>
        <w:rFonts w:ascii="Palatino Linotype" w:hAnsi="Palatino Linotype" w:cs="Palatino Linotype"/>
        <w:b/>
        <w:bCs/>
        <w:sz w:val="18"/>
        <w:szCs w:val="18"/>
        <w:lang w:val="fr-FR"/>
      </w:rPr>
      <w:t xml:space="preserve">10.4208/cicc.2024.v6.n1.1  </w:t>
    </w:r>
    <w:r>
      <w:rPr>
        <w:rFonts w:ascii="Palatino Linotype" w:hAnsi="Palatino Linotype" w:cs="Palatino Linotype"/>
        <w:b/>
        <w:bCs/>
        <w:sz w:val="18"/>
        <w:szCs w:val="18"/>
      </w:rPr>
      <w:t xml:space="preserve"> </w:t>
    </w:r>
    <w:r>
      <w:rPr>
        <w:rFonts w:ascii="Palatino Linotype" w:hAnsi="Palatino Linotype" w:cs="Palatino Linotype"/>
        <w:b/>
        <w:bCs/>
        <w:spacing w:val="-1"/>
        <w:sz w:val="18"/>
        <w:szCs w:val="18"/>
        <w:lang w:val="fr-FR"/>
      </w:rPr>
      <w:t>Nov.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4D" w14:textId="12395C3B" w:rsidR="000576D5" w:rsidRDefault="007D044B">
    <w:pPr>
      <w:spacing w:after="0"/>
      <w:rPr>
        <w:rFonts w:ascii="Times New Roman" w:hAnsi="Times New Roman" w:cs="Times New Roman"/>
        <w:sz w:val="18"/>
        <w:szCs w:val="18"/>
      </w:rPr>
    </w:pPr>
    <w:proofErr w:type="spellStart"/>
    <w:r>
      <w:rPr>
        <w:rFonts w:ascii="Times New Roman" w:eastAsia="TeXGyreTermesX-Italic" w:hAnsi="Times New Roman" w:cs="Times New Roman"/>
        <w:i/>
        <w:iCs/>
        <w:color w:val="000000"/>
        <w:sz w:val="18"/>
        <w:szCs w:val="18"/>
        <w:lang w:bidi="ar"/>
      </w:rPr>
      <w:t>Commun</w:t>
    </w:r>
    <w:proofErr w:type="spellEnd"/>
    <w:r>
      <w:rPr>
        <w:rFonts w:ascii="Times New Roman" w:eastAsia="TeXGyreTermesX-Italic" w:hAnsi="Times New Roman" w:cs="Times New Roman"/>
        <w:i/>
        <w:iCs/>
        <w:color w:val="000000"/>
        <w:sz w:val="18"/>
        <w:szCs w:val="18"/>
        <w:lang w:bidi="ar"/>
      </w:rPr>
      <w:t xml:space="preserve">. </w:t>
    </w:r>
    <w:proofErr w:type="spellStart"/>
    <w:r>
      <w:rPr>
        <w:rFonts w:ascii="Times New Roman" w:eastAsia="TeXGyreTermesX-Italic" w:hAnsi="Times New Roman" w:cs="Times New Roman"/>
        <w:i/>
        <w:iCs/>
        <w:color w:val="000000"/>
        <w:sz w:val="18"/>
        <w:szCs w:val="18"/>
        <w:lang w:bidi="ar"/>
      </w:rPr>
      <w:t>Comput</w:t>
    </w:r>
    <w:proofErr w:type="spellEnd"/>
    <w:r>
      <w:rPr>
        <w:rFonts w:ascii="Times New Roman" w:eastAsia="TeXGyreTermesX-Italic" w:hAnsi="Times New Roman" w:cs="Times New Roman"/>
        <w:i/>
        <w:iCs/>
        <w:color w:val="000000"/>
        <w:sz w:val="18"/>
        <w:szCs w:val="18"/>
        <w:lang w:bidi="ar"/>
      </w:rPr>
      <w:t xml:space="preserve">. Chem., Vol. 1, No. 1, </w:t>
    </w:r>
    <w:r>
      <w:rPr>
        <w:rFonts w:ascii="Times New Roman" w:eastAsia="TeXGyreTermesX-Regular" w:hAnsi="Times New Roman" w:cs="Times New Roman"/>
        <w:color w:val="000000"/>
        <w:sz w:val="18"/>
        <w:szCs w:val="18"/>
        <w:lang w:bidi="ar"/>
      </w:rPr>
      <w:t>1-</w:t>
    </w:r>
    <w:r w:rsidR="004B5635">
      <w:rPr>
        <w:rFonts w:ascii="Times New Roman" w:hAnsi="Times New Roman" w:cs="Times New Roman" w:hint="eastAsia"/>
        <w:color w:val="000000"/>
        <w:sz w:val="18"/>
        <w:szCs w:val="18"/>
        <w:lang w:bidi="ar"/>
      </w:rPr>
      <w:t>2</w:t>
    </w:r>
    <w:r>
      <w:rPr>
        <w:rFonts w:ascii="Times New Roman" w:eastAsia="TeXGyreTermesX-Regular" w:hAnsi="Times New Roman" w:cs="Times New Roman"/>
        <w:color w:val="000000"/>
        <w:sz w:val="18"/>
        <w:szCs w:val="18"/>
        <w:lang w:bidi="ar"/>
      </w:rPr>
      <w:t xml:space="preserve"> </w:t>
    </w:r>
  </w:p>
  <w:p w14:paraId="3889F74E" w14:textId="77777777" w:rsidR="000576D5" w:rsidRDefault="007D044B">
    <w:pPr>
      <w:spacing w:after="0"/>
      <w:rPr>
        <w:rFonts w:ascii="Times New Roman" w:hAnsi="Times New Roman" w:cs="Times New Roman"/>
        <w:sz w:val="18"/>
        <w:szCs w:val="18"/>
      </w:rPr>
    </w:pPr>
    <w:proofErr w:type="spellStart"/>
    <w:r>
      <w:rPr>
        <w:rFonts w:ascii="Times New Roman" w:eastAsia="TeXGyreTermesX-Regular" w:hAnsi="Times New Roman" w:cs="Times New Roman"/>
        <w:color w:val="000000"/>
        <w:sz w:val="18"/>
        <w:szCs w:val="18"/>
        <w:lang w:bidi="ar"/>
      </w:rPr>
      <w:t>doi</w:t>
    </w:r>
    <w:proofErr w:type="spellEnd"/>
    <w:r>
      <w:rPr>
        <w:rFonts w:ascii="Times New Roman" w:eastAsia="TeXGyreTermesX-Regular" w:hAnsi="Times New Roman" w:cs="Times New Roman"/>
        <w:color w:val="000000"/>
        <w:sz w:val="18"/>
        <w:szCs w:val="18"/>
        <w:lang w:bidi="ar"/>
      </w:rPr>
      <w:t xml:space="preserve">: 10.4208/cicc.2026.xxx.xx </w:t>
    </w:r>
  </w:p>
  <w:p w14:paraId="3889F74F" w14:textId="2EE602B1" w:rsidR="000576D5" w:rsidRDefault="007D044B">
    <w:pPr>
      <w:pBdr>
        <w:bottom w:val="single" w:sz="12" w:space="0" w:color="auto"/>
      </w:pBdr>
      <w:spacing w:after="0"/>
      <w:rPr>
        <w:rFonts w:ascii="Times New Roman" w:hAnsi="Times New Roman" w:cs="Times New Roman"/>
        <w:sz w:val="18"/>
        <w:szCs w:val="18"/>
      </w:rPr>
    </w:pPr>
    <w:r>
      <w:rPr>
        <w:rFonts w:ascii="Times New Roman" w:eastAsia="TeXGyreTermesX-Bold" w:hAnsi="Times New Roman" w:cs="Times New Roman"/>
        <w:b/>
        <w:bCs/>
        <w:color w:val="000000"/>
        <w:sz w:val="18"/>
        <w:szCs w:val="18"/>
        <w:lang w:bidi="ar"/>
      </w:rPr>
      <w:t>Regular</w:t>
    </w:r>
    <w:r w:rsidR="004B5635">
      <w:rPr>
        <w:rFonts w:ascii="Times New Roman" w:hAnsi="Times New Roman" w:cs="Times New Roman" w:hint="eastAsia"/>
        <w:b/>
        <w:bCs/>
        <w:color w:val="000000"/>
        <w:sz w:val="18"/>
        <w:szCs w:val="18"/>
        <w:lang w:bidi="ar"/>
      </w:rPr>
      <w:t xml:space="preserve"> /</w:t>
    </w:r>
    <w:r w:rsidR="00330B93">
      <w:rPr>
        <w:rFonts w:ascii="Times New Roman" w:hAnsi="Times New Roman" w:cs="Times New Roman" w:hint="eastAsia"/>
        <w:b/>
        <w:bCs/>
        <w:color w:val="000000"/>
        <w:sz w:val="18"/>
        <w:szCs w:val="18"/>
        <w:lang w:bidi="ar"/>
      </w:rPr>
      <w:t xml:space="preserve"> Feature / Perspective / Review</w:t>
    </w:r>
    <w:r>
      <w:rPr>
        <w:rFonts w:ascii="Times New Roman" w:eastAsia="TeXGyreTermesX-Bold" w:hAnsi="Times New Roman" w:cs="Times New Roman"/>
        <w:b/>
        <w:bCs/>
        <w:color w:val="000000"/>
        <w:sz w:val="18"/>
        <w:szCs w:val="18"/>
        <w:lang w:bidi="ar"/>
      </w:rPr>
      <w:t xml:space="preserve">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1" w14:textId="42EE9D2C" w:rsidR="000576D5" w:rsidRPr="009F2CCD" w:rsidRDefault="009F2CCD">
    <w:pPr>
      <w:pBdr>
        <w:bottom w:val="single" w:sz="12" w:space="0" w:color="auto"/>
      </w:pBdr>
      <w:jc w:val="right"/>
      <w:rPr>
        <w:rFonts w:ascii="Times New Roman" w:hAnsi="Times New Roman" w:cs="Times New Roman"/>
        <w:i/>
        <w:iCs/>
        <w:color w:val="000000"/>
        <w:sz w:val="18"/>
        <w:szCs w:val="18"/>
        <w:lang w:bidi="ar"/>
      </w:rPr>
    </w:pPr>
    <w:r>
      <w:rPr>
        <w:rFonts w:ascii="Times New Roman" w:hAnsi="Times New Roman" w:cs="Times New Roman" w:hint="eastAsia"/>
        <w:i/>
        <w:iCs/>
        <w:color w:val="000000"/>
        <w:sz w:val="18"/>
        <w:szCs w:val="18"/>
        <w:lang w:bidi="ar"/>
      </w:rPr>
      <w:t xml:space="preserve">John Doe et al. / </w:t>
    </w:r>
    <w:proofErr w:type="spellStart"/>
    <w:r w:rsidR="007D044B">
      <w:rPr>
        <w:rFonts w:ascii="Times New Roman" w:eastAsia="TeXGyreTermesX-Italic" w:hAnsi="Times New Roman" w:cs="Times New Roman"/>
        <w:i/>
        <w:iCs/>
        <w:color w:val="000000"/>
        <w:sz w:val="18"/>
        <w:szCs w:val="18"/>
        <w:lang w:bidi="ar"/>
      </w:rPr>
      <w:t>Commun</w:t>
    </w:r>
    <w:proofErr w:type="spellEnd"/>
    <w:r w:rsidR="007D044B">
      <w:rPr>
        <w:rFonts w:ascii="Times New Roman" w:eastAsia="TeXGyreTermesX-Italic" w:hAnsi="Times New Roman" w:cs="Times New Roman"/>
        <w:i/>
        <w:iCs/>
        <w:color w:val="000000"/>
        <w:sz w:val="18"/>
        <w:szCs w:val="18"/>
        <w:lang w:bidi="ar"/>
      </w:rPr>
      <w:t xml:space="preserve">. </w:t>
    </w:r>
    <w:proofErr w:type="spellStart"/>
    <w:r w:rsidR="007D044B">
      <w:rPr>
        <w:rFonts w:ascii="Times New Roman" w:eastAsia="TeXGyreTermesX-Italic" w:hAnsi="Times New Roman" w:cs="Times New Roman"/>
        <w:i/>
        <w:iCs/>
        <w:color w:val="000000"/>
        <w:sz w:val="18"/>
        <w:szCs w:val="18"/>
        <w:lang w:bidi="ar"/>
      </w:rPr>
      <w:t>Comput</w:t>
    </w:r>
    <w:proofErr w:type="spellEnd"/>
    <w:r w:rsidR="007D044B">
      <w:rPr>
        <w:rFonts w:ascii="Times New Roman" w:eastAsia="TeXGyreTermesX-Italic" w:hAnsi="Times New Roman" w:cs="Times New Roman"/>
        <w:i/>
        <w:iCs/>
        <w:color w:val="000000"/>
        <w:sz w:val="18"/>
        <w:szCs w:val="18"/>
        <w:lang w:bidi="ar"/>
      </w:rPr>
      <w:t>. Chem., 2026, 1(1), 1-</w:t>
    </w:r>
    <w:r>
      <w:rPr>
        <w:rFonts w:ascii="Times New Roman" w:hAnsi="Times New Roman" w:cs="Times New Roman" w:hint="eastAsia"/>
        <w:i/>
        <w:iCs/>
        <w:color w:val="000000"/>
        <w:sz w:val="18"/>
        <w:szCs w:val="18"/>
        <w:lang w:bidi="ar"/>
      </w:rPr>
      <w:t>2</w:t>
    </w:r>
  </w:p>
  <w:p w14:paraId="3889F752" w14:textId="77777777" w:rsidR="000576D5" w:rsidRDefault="000576D5">
    <w:pPr>
      <w:jc w:val="right"/>
      <w:rPr>
        <w:rFonts w:ascii="Times New Roman" w:eastAsia="TeXGyreTermesX-Italic" w:hAnsi="Times New Roman" w:cs="Times New Roman"/>
        <w:i/>
        <w:iCs/>
        <w:color w:val="000000"/>
        <w:sz w:val="18"/>
        <w:szCs w:val="18"/>
        <w:lang w:bidi="a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3" w14:textId="05F7878A" w:rsidR="000576D5" w:rsidRPr="00681EE7" w:rsidRDefault="00681EE7">
    <w:pPr>
      <w:pBdr>
        <w:bottom w:val="single" w:sz="12" w:space="0" w:color="auto"/>
      </w:pBdr>
      <w:rPr>
        <w:rFonts w:ascii="Times New Roman" w:hAnsi="Times New Roman" w:cs="Times New Roman"/>
        <w:color w:val="000000"/>
        <w:sz w:val="18"/>
        <w:szCs w:val="18"/>
        <w:lang w:bidi="ar"/>
      </w:rPr>
    </w:pPr>
    <w:r>
      <w:rPr>
        <w:rFonts w:asciiTheme="minorEastAsia" w:hAnsiTheme="minorEastAsia" w:cs="Times New Roman" w:hint="eastAsia"/>
        <w:color w:val="000000"/>
        <w:sz w:val="18"/>
        <w:szCs w:val="18"/>
        <w:lang w:bidi="ar"/>
      </w:rPr>
      <w:t>Here</w:t>
    </w:r>
    <w:r>
      <w:rPr>
        <w:rFonts w:ascii="Times New Roman" w:hAnsi="Times New Roman" w:cs="Times New Roman" w:hint="eastAsia"/>
        <w:color w:val="000000"/>
        <w:sz w:val="18"/>
        <w:szCs w:val="18"/>
        <w:lang w:bidi="ar"/>
      </w:rPr>
      <w:t xml:space="preserve"> is the Title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754" w14:textId="77777777" w:rsidR="000576D5" w:rsidRDefault="007D044B">
    <w:pPr>
      <w:spacing w:after="0"/>
      <w:rPr>
        <w:rFonts w:ascii="Times New Roman" w:hAnsi="Times New Roman" w:cs="Times New Roman"/>
        <w:sz w:val="18"/>
        <w:szCs w:val="18"/>
      </w:rPr>
    </w:pPr>
    <w:proofErr w:type="spellStart"/>
    <w:r>
      <w:rPr>
        <w:rFonts w:ascii="Times New Roman" w:eastAsia="TeXGyreTermesX-Italic" w:hAnsi="Times New Roman" w:cs="Times New Roman"/>
        <w:i/>
        <w:iCs/>
        <w:color w:val="000000"/>
        <w:sz w:val="18"/>
        <w:szCs w:val="18"/>
        <w:lang w:bidi="ar"/>
      </w:rPr>
      <w:t>Commun</w:t>
    </w:r>
    <w:proofErr w:type="spellEnd"/>
    <w:r>
      <w:rPr>
        <w:rFonts w:ascii="Times New Roman" w:eastAsia="TeXGyreTermesX-Italic" w:hAnsi="Times New Roman" w:cs="Times New Roman"/>
        <w:i/>
        <w:iCs/>
        <w:color w:val="000000"/>
        <w:sz w:val="18"/>
        <w:szCs w:val="18"/>
        <w:lang w:bidi="ar"/>
      </w:rPr>
      <w:t xml:space="preserve">. </w:t>
    </w:r>
    <w:proofErr w:type="spellStart"/>
    <w:r>
      <w:rPr>
        <w:rFonts w:ascii="Times New Roman" w:eastAsia="TeXGyreTermesX-Italic" w:hAnsi="Times New Roman" w:cs="Times New Roman"/>
        <w:i/>
        <w:iCs/>
        <w:color w:val="000000"/>
        <w:sz w:val="18"/>
        <w:szCs w:val="18"/>
        <w:lang w:bidi="ar"/>
      </w:rPr>
      <w:t>Comput</w:t>
    </w:r>
    <w:proofErr w:type="spellEnd"/>
    <w:r>
      <w:rPr>
        <w:rFonts w:ascii="Times New Roman" w:eastAsia="TeXGyreTermesX-Italic" w:hAnsi="Times New Roman" w:cs="Times New Roman"/>
        <w:i/>
        <w:iCs/>
        <w:color w:val="000000"/>
        <w:sz w:val="18"/>
        <w:szCs w:val="18"/>
        <w:lang w:bidi="ar"/>
      </w:rPr>
      <w:t xml:space="preserve">. Chem., Vol. 1, No. 1, </w:t>
    </w:r>
    <w:r>
      <w:rPr>
        <w:rFonts w:ascii="Times New Roman" w:eastAsia="TeXGyreTermesX-Regular" w:hAnsi="Times New Roman" w:cs="Times New Roman"/>
        <w:color w:val="000000"/>
        <w:sz w:val="18"/>
        <w:szCs w:val="18"/>
        <w:lang w:bidi="ar"/>
      </w:rPr>
      <w:t xml:space="preserve">1-10 </w:t>
    </w:r>
  </w:p>
  <w:p w14:paraId="3889F755" w14:textId="77777777" w:rsidR="000576D5" w:rsidRDefault="007D044B">
    <w:pPr>
      <w:spacing w:after="0"/>
      <w:rPr>
        <w:rFonts w:ascii="Times New Roman" w:hAnsi="Times New Roman" w:cs="Times New Roman"/>
        <w:sz w:val="18"/>
        <w:szCs w:val="18"/>
      </w:rPr>
    </w:pPr>
    <w:proofErr w:type="spellStart"/>
    <w:r>
      <w:rPr>
        <w:rFonts w:ascii="Times New Roman" w:eastAsia="TeXGyreTermesX-Regular" w:hAnsi="Times New Roman" w:cs="Times New Roman"/>
        <w:color w:val="000000"/>
        <w:sz w:val="18"/>
        <w:szCs w:val="18"/>
        <w:lang w:bidi="ar"/>
      </w:rPr>
      <w:t>doi</w:t>
    </w:r>
    <w:proofErr w:type="spellEnd"/>
    <w:r>
      <w:rPr>
        <w:rFonts w:ascii="Times New Roman" w:eastAsia="TeXGyreTermesX-Regular" w:hAnsi="Times New Roman" w:cs="Times New Roman"/>
        <w:color w:val="000000"/>
        <w:sz w:val="18"/>
        <w:szCs w:val="18"/>
        <w:lang w:bidi="ar"/>
      </w:rPr>
      <w:t xml:space="preserve">: 10.4208/cicc.2026.xxx.xx </w:t>
    </w:r>
  </w:p>
  <w:p w14:paraId="3889F756" w14:textId="77777777" w:rsidR="000576D5" w:rsidRDefault="007D044B">
    <w:pPr>
      <w:pBdr>
        <w:bottom w:val="single" w:sz="12" w:space="0" w:color="auto"/>
      </w:pBdr>
      <w:spacing w:after="0"/>
      <w:rPr>
        <w:rFonts w:ascii="Times New Roman" w:hAnsi="Times New Roman" w:cs="Times New Roman"/>
        <w:sz w:val="18"/>
        <w:szCs w:val="18"/>
      </w:rPr>
    </w:pPr>
    <w:r>
      <w:rPr>
        <w:rFonts w:ascii="Times New Roman" w:eastAsia="TeXGyreTermesX-Bold" w:hAnsi="Times New Roman" w:cs="Times New Roman"/>
        <w:b/>
        <w:bCs/>
        <w:color w:val="000000"/>
        <w:sz w:val="18"/>
        <w:szCs w:val="18"/>
        <w:lang w:bidi="ar"/>
      </w:rPr>
      <w:t>Regular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C70829"/>
    <w:multiLevelType w:val="singleLevel"/>
    <w:tmpl w:val="E3DE66D4"/>
    <w:lvl w:ilvl="0">
      <w:start w:val="1"/>
      <w:numFmt w:val="decimal"/>
      <w:lvlText w:val="2.%1"/>
      <w:lvlJc w:val="left"/>
      <w:pPr>
        <w:tabs>
          <w:tab w:val="num" w:pos="624"/>
        </w:tabs>
        <w:ind w:left="454" w:hanging="454"/>
      </w:pPr>
      <w:rPr>
        <w:rFonts w:hint="default"/>
      </w:rPr>
    </w:lvl>
  </w:abstractNum>
  <w:abstractNum w:abstractNumId="1" w15:restartNumberingAfterBreak="0">
    <w:nsid w:val="27D64269"/>
    <w:multiLevelType w:val="singleLevel"/>
    <w:tmpl w:val="15B29342"/>
    <w:lvl w:ilvl="0">
      <w:start w:val="1"/>
      <w:numFmt w:val="decimal"/>
      <w:lvlText w:val="%1"/>
      <w:lvlJc w:val="left"/>
      <w:pPr>
        <w:tabs>
          <w:tab w:val="num" w:pos="851"/>
        </w:tabs>
        <w:ind w:left="454" w:hanging="454"/>
      </w:pPr>
      <w:rPr>
        <w:rFonts w:hint="default"/>
      </w:rPr>
    </w:lvl>
  </w:abstractNum>
  <w:abstractNum w:abstractNumId="2" w15:restartNumberingAfterBreak="0">
    <w:nsid w:val="331D5D76"/>
    <w:multiLevelType w:val="singleLevel"/>
    <w:tmpl w:val="331D5D76"/>
    <w:lvl w:ilvl="0">
      <w:start w:val="1"/>
      <w:numFmt w:val="decimal"/>
      <w:lvlText w:val="[%1]"/>
      <w:lvlJc w:val="left"/>
      <w:pPr>
        <w:tabs>
          <w:tab w:val="left" w:pos="283"/>
        </w:tabs>
        <w:ind w:left="850" w:hanging="453"/>
      </w:pPr>
      <w:rPr>
        <w:rFonts w:hint="default"/>
      </w:rPr>
    </w:lvl>
  </w:abstractNum>
  <w:abstractNum w:abstractNumId="3" w15:restartNumberingAfterBreak="0">
    <w:nsid w:val="631C7CDA"/>
    <w:multiLevelType w:val="singleLevel"/>
    <w:tmpl w:val="DAD25C46"/>
    <w:lvl w:ilvl="0">
      <w:start w:val="1"/>
      <w:numFmt w:val="decimal"/>
      <w:lvlText w:val="3.%1"/>
      <w:lvlJc w:val="left"/>
      <w:pPr>
        <w:tabs>
          <w:tab w:val="num" w:pos="624"/>
        </w:tabs>
        <w:ind w:left="454" w:hanging="454"/>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evenAndOddHeaders/>
  <w:drawingGridHorizontalSpacing w:val="360"/>
  <w:drawingGridVerticalSpacing w:val="360"/>
  <w:noPunctuationKerning/>
  <w:characterSpacingControl w:val="doNotCompress"/>
  <w:hdrShapeDefaults>
    <o:shapedefaults v:ext="edit" spidmax="3076"/>
    <o:shapelayout v:ext="edit">
      <o:idmap v:ext="edit" data="2,3"/>
    </o:shapelayout>
  </w:hdrShapeDefaults>
  <w:footnotePr>
    <w:numRestart w:val="eachSect"/>
    <w:footnote w:id="-1"/>
    <w:footnote w:id="0"/>
  </w:footnotePr>
  <w:endnotePr>
    <w:endnote w:id="-1"/>
    <w:endnote w:id="0"/>
  </w:endnotePr>
  <w:compat>
    <w:doNotExpandShiftReturn/>
    <w:doNotWrapTextWithPunct/>
    <w:doNotUseEastAsianBreakRules/>
    <w:useFELayout/>
    <w:splitPgBreakAndParaMark/>
    <w:compatSetting w:name="compatibilityMode" w:uri="http://schemas.microsoft.com/office/word" w:val="12"/>
    <w:compatSetting w:name="useWord2013TrackBottomHyphenation" w:uri="http://schemas.microsoft.com/office/word" w:val="1"/>
  </w:compat>
  <w:rsids>
    <w:rsidRoot w:val="00172A27"/>
    <w:rsid w:val="FFAD680B"/>
    <w:rsid w:val="0002796B"/>
    <w:rsid w:val="00046201"/>
    <w:rsid w:val="00056D54"/>
    <w:rsid w:val="000576D5"/>
    <w:rsid w:val="000622FF"/>
    <w:rsid w:val="000B00FB"/>
    <w:rsid w:val="000B2E4B"/>
    <w:rsid w:val="000B352C"/>
    <w:rsid w:val="000C1DFB"/>
    <w:rsid w:val="000C354A"/>
    <w:rsid w:val="000C50B3"/>
    <w:rsid w:val="000C698A"/>
    <w:rsid w:val="000D3627"/>
    <w:rsid w:val="00127C49"/>
    <w:rsid w:val="00137F2F"/>
    <w:rsid w:val="00172A27"/>
    <w:rsid w:val="001820B5"/>
    <w:rsid w:val="00191BC1"/>
    <w:rsid w:val="001962C5"/>
    <w:rsid w:val="001C477C"/>
    <w:rsid w:val="001E5278"/>
    <w:rsid w:val="00212061"/>
    <w:rsid w:val="0022131B"/>
    <w:rsid w:val="002213A8"/>
    <w:rsid w:val="00234234"/>
    <w:rsid w:val="0025176F"/>
    <w:rsid w:val="002543BE"/>
    <w:rsid w:val="00286623"/>
    <w:rsid w:val="002A6178"/>
    <w:rsid w:val="002D1257"/>
    <w:rsid w:val="002D43D7"/>
    <w:rsid w:val="002E2F51"/>
    <w:rsid w:val="002F20E5"/>
    <w:rsid w:val="002F79E7"/>
    <w:rsid w:val="00330B93"/>
    <w:rsid w:val="003565A3"/>
    <w:rsid w:val="003816A3"/>
    <w:rsid w:val="003E642B"/>
    <w:rsid w:val="00404AFF"/>
    <w:rsid w:val="004128CF"/>
    <w:rsid w:val="004821A6"/>
    <w:rsid w:val="004832D2"/>
    <w:rsid w:val="00493E6D"/>
    <w:rsid w:val="004A243D"/>
    <w:rsid w:val="004B0AC4"/>
    <w:rsid w:val="004B5635"/>
    <w:rsid w:val="004D19D7"/>
    <w:rsid w:val="004D55AA"/>
    <w:rsid w:val="004D7371"/>
    <w:rsid w:val="00507A5D"/>
    <w:rsid w:val="00551246"/>
    <w:rsid w:val="00594561"/>
    <w:rsid w:val="005E1E99"/>
    <w:rsid w:val="006136C7"/>
    <w:rsid w:val="00614C9B"/>
    <w:rsid w:val="00620964"/>
    <w:rsid w:val="00653451"/>
    <w:rsid w:val="00657365"/>
    <w:rsid w:val="00681EE7"/>
    <w:rsid w:val="006B6EA2"/>
    <w:rsid w:val="006D417E"/>
    <w:rsid w:val="00734819"/>
    <w:rsid w:val="007411A5"/>
    <w:rsid w:val="00790983"/>
    <w:rsid w:val="007B28AD"/>
    <w:rsid w:val="007B78DE"/>
    <w:rsid w:val="007D044B"/>
    <w:rsid w:val="008E402B"/>
    <w:rsid w:val="00936F89"/>
    <w:rsid w:val="009436E9"/>
    <w:rsid w:val="00966DB3"/>
    <w:rsid w:val="009703C7"/>
    <w:rsid w:val="00974089"/>
    <w:rsid w:val="009D26E3"/>
    <w:rsid w:val="009F2CCD"/>
    <w:rsid w:val="00A25894"/>
    <w:rsid w:val="00A3087C"/>
    <w:rsid w:val="00A64B41"/>
    <w:rsid w:val="00B058F0"/>
    <w:rsid w:val="00B322D8"/>
    <w:rsid w:val="00BB0B6C"/>
    <w:rsid w:val="00BB5139"/>
    <w:rsid w:val="00BD3C3B"/>
    <w:rsid w:val="00BE7E3F"/>
    <w:rsid w:val="00C06129"/>
    <w:rsid w:val="00CA779D"/>
    <w:rsid w:val="00D24A22"/>
    <w:rsid w:val="00D359D7"/>
    <w:rsid w:val="00D739B7"/>
    <w:rsid w:val="00D77805"/>
    <w:rsid w:val="00D923BB"/>
    <w:rsid w:val="00D96B95"/>
    <w:rsid w:val="00DC1F63"/>
    <w:rsid w:val="00DE79DA"/>
    <w:rsid w:val="00DF1DC1"/>
    <w:rsid w:val="00E024C3"/>
    <w:rsid w:val="00E17099"/>
    <w:rsid w:val="00E31854"/>
    <w:rsid w:val="00E362C9"/>
    <w:rsid w:val="00E4649C"/>
    <w:rsid w:val="00E5444E"/>
    <w:rsid w:val="00EC052D"/>
    <w:rsid w:val="00ED1BD3"/>
    <w:rsid w:val="00EE1A37"/>
    <w:rsid w:val="00EF112C"/>
    <w:rsid w:val="00EF49E2"/>
    <w:rsid w:val="00F013DD"/>
    <w:rsid w:val="00F0470A"/>
    <w:rsid w:val="00F07F1D"/>
    <w:rsid w:val="00FC6BB3"/>
    <w:rsid w:val="00FF2FF2"/>
    <w:rsid w:val="046E6DDE"/>
    <w:rsid w:val="1A1D699F"/>
    <w:rsid w:val="1C913B5A"/>
    <w:rsid w:val="1D807E56"/>
    <w:rsid w:val="32AB2290"/>
    <w:rsid w:val="40D71069"/>
    <w:rsid w:val="459B1A0B"/>
    <w:rsid w:val="5D9F33A9"/>
    <w:rsid w:val="61513241"/>
    <w:rsid w:val="61D90EB0"/>
    <w:rsid w:val="6D657A01"/>
    <w:rsid w:val="6F8F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889F6C3"/>
  <w15:docId w15:val="{8C655BC4-6315-4DBC-8B5D-0CD5538B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footer" w:qFormat="1"/>
    <w:lsdException w:name="caption" w:qFormat="1"/>
    <w:lsdException w:name="footnote reference" w:qFormat="1"/>
    <w:lsdException w:name="Title" w:uiPriority="10" w:qFormat="1"/>
    <w:lsdException w:name="Default Paragraph Font" w:semiHidden="1" w:unhideWhenUsed="1" w:qFormat="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pPr>
    <w:rPr>
      <w:rFonts w:asciiTheme="minorHAnsi" w:eastAsiaTheme="minorEastAsia" w:hAnsiTheme="minorHAnsi" w:cstheme="minorBidi"/>
      <w:sz w:val="24"/>
      <w:szCs w:val="24"/>
    </w:rPr>
  </w:style>
  <w:style w:type="paragraph" w:styleId="1">
    <w:name w:val="heading 1"/>
    <w:basedOn w:val="a"/>
    <w:next w:val="a0"/>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styleId="a5">
    <w:name w:val="caption"/>
    <w:basedOn w:val="a"/>
    <w:qFormat/>
    <w:pPr>
      <w:spacing w:after="120"/>
    </w:pPr>
    <w:rPr>
      <w:i/>
    </w:rPr>
  </w:style>
  <w:style w:type="paragraph" w:styleId="a6">
    <w:name w:val="Block Text"/>
    <w:basedOn w:val="a0"/>
    <w:next w:val="a0"/>
    <w:uiPriority w:val="9"/>
    <w:unhideWhenUsed/>
    <w:qFormat/>
    <w:pPr>
      <w:spacing w:before="100" w:after="100"/>
      <w:ind w:left="480" w:right="480"/>
    </w:pPr>
  </w:style>
  <w:style w:type="paragraph" w:styleId="a7">
    <w:name w:val="Date"/>
    <w:basedOn w:val="a8"/>
    <w:next w:val="a0"/>
    <w:qFormat/>
    <w:pPr>
      <w:keepNext/>
      <w:keepLines/>
    </w:pPr>
    <w:rPr>
      <w:sz w:val="24"/>
      <w:szCs w:val="24"/>
    </w:rPr>
  </w:style>
  <w:style w:type="paragraph" w:styleId="a8">
    <w:name w:val="Title"/>
    <w:basedOn w:val="a"/>
    <w:next w:val="a0"/>
    <w:link w:val="a9"/>
    <w:uiPriority w:val="10"/>
    <w:qFormat/>
    <w:pPr>
      <w:spacing w:after="80"/>
      <w:contextualSpacing/>
      <w:jc w:val="center"/>
    </w:pPr>
    <w:rPr>
      <w:rFonts w:asciiTheme="majorHAnsi" w:eastAsiaTheme="majorEastAsia" w:hAnsiTheme="majorHAnsi" w:cstheme="majorBidi"/>
      <w:sz w:val="56"/>
      <w:szCs w:val="56"/>
    </w:rPr>
  </w:style>
  <w:style w:type="paragraph" w:styleId="aa">
    <w:name w:val="footer"/>
    <w:basedOn w:val="a"/>
    <w:qFormat/>
    <w:pPr>
      <w:tabs>
        <w:tab w:val="center" w:pos="4153"/>
        <w:tab w:val="right" w:pos="8306"/>
      </w:tabs>
      <w:snapToGrid w:val="0"/>
    </w:pPr>
    <w:rPr>
      <w:sz w:val="18"/>
    </w:rPr>
  </w:style>
  <w:style w:type="paragraph" w:styleId="ab">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c">
    <w:name w:val="Subtitle"/>
    <w:basedOn w:val="a8"/>
    <w:next w:val="a0"/>
    <w:link w:val="ad"/>
    <w:uiPriority w:val="11"/>
    <w:qFormat/>
    <w:rPr>
      <w:spacing w:val="15"/>
      <w:sz w:val="28"/>
      <w:szCs w:val="28"/>
    </w:rPr>
  </w:style>
  <w:style w:type="paragraph" w:styleId="ae">
    <w:name w:val="footnote text"/>
    <w:basedOn w:val="a"/>
    <w:uiPriority w:val="9"/>
    <w:unhideWhenUsed/>
    <w:qFormat/>
  </w:style>
  <w:style w:type="character" w:styleId="af">
    <w:name w:val="Hyperlink"/>
    <w:basedOn w:val="a4"/>
    <w:rPr>
      <w:color w:val="156082" w:themeColor="accent1"/>
    </w:rPr>
  </w:style>
  <w:style w:type="character" w:customStyle="1" w:styleId="a4">
    <w:name w:val="正文文本 字符"/>
    <w:basedOn w:val="a1"/>
    <w:link w:val="a0"/>
  </w:style>
  <w:style w:type="character" w:styleId="af0">
    <w:name w:val="footnote reference"/>
    <w:basedOn w:val="a4"/>
    <w:qFormat/>
    <w:rPr>
      <w:vertAlign w:val="superscript"/>
    </w:rPr>
  </w:style>
  <w:style w:type="paragraph" w:customStyle="1" w:styleId="FirstParagraph">
    <w:name w:val="First Paragraph"/>
    <w:basedOn w:val="a0"/>
    <w:next w:val="a0"/>
    <w:link w:val="FirstParagraph0"/>
    <w:qFormat/>
  </w:style>
  <w:style w:type="paragraph" w:customStyle="1" w:styleId="Compact">
    <w:name w:val="Compact"/>
    <w:basedOn w:val="a0"/>
    <w:qFormat/>
    <w:pPr>
      <w:spacing w:before="36" w:after="36"/>
    </w:pPr>
  </w:style>
  <w:style w:type="character" w:customStyle="1" w:styleId="a9">
    <w:name w:val="标题 字符"/>
    <w:basedOn w:val="a1"/>
    <w:link w:val="a8"/>
    <w:uiPriority w:val="10"/>
    <w:qFormat/>
    <w:rPr>
      <w:rFonts w:asciiTheme="majorHAnsi" w:eastAsiaTheme="majorEastAsia" w:hAnsiTheme="majorHAnsi" w:cstheme="majorBidi"/>
      <w:sz w:val="56"/>
      <w:szCs w:val="56"/>
    </w:rPr>
  </w:style>
  <w:style w:type="character" w:customStyle="1" w:styleId="ad">
    <w:name w:val="副标题 字符"/>
    <w:basedOn w:val="a1"/>
    <w:link w:val="ac"/>
    <w:uiPriority w:val="11"/>
    <w:qFormat/>
    <w:rPr>
      <w:rFonts w:eastAsiaTheme="majorEastAsia" w:cstheme="majorBidi"/>
      <w:color w:val="595959" w:themeColor="text1" w:themeTint="A6"/>
      <w:spacing w:val="15"/>
      <w:sz w:val="28"/>
      <w:szCs w:val="28"/>
    </w:rPr>
  </w:style>
  <w:style w:type="paragraph" w:customStyle="1" w:styleId="Author">
    <w:name w:val="Author"/>
    <w:basedOn w:val="a8"/>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customStyle="1" w:styleId="11">
    <w:name w:val="书目1"/>
    <w:basedOn w:val="a"/>
    <w:qFormat/>
  </w:style>
  <w:style w:type="character" w:customStyle="1" w:styleId="10">
    <w:name w:val="标题 1 字符"/>
    <w:basedOn w:val="a1"/>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qFormat/>
    <w:rPr>
      <w:rFonts w:eastAsiaTheme="majorEastAsia" w:cstheme="majorBidi"/>
      <w:color w:val="0F4761" w:themeColor="accent1" w:themeShade="BF"/>
      <w:sz w:val="28"/>
      <w:szCs w:val="28"/>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72727" w:themeColor="text1" w:themeTint="D8"/>
    </w:rPr>
  </w:style>
  <w:style w:type="character" w:customStyle="1" w:styleId="90">
    <w:name w:val="标题 9 字符"/>
    <w:basedOn w:val="a1"/>
    <w:link w:val="9"/>
    <w:uiPriority w:val="9"/>
    <w:semiHidden/>
    <w:qFormat/>
    <w:rPr>
      <w:rFonts w:eastAsiaTheme="majorEastAsia" w:cstheme="majorBidi"/>
      <w:color w:val="272727" w:themeColor="text1" w:themeTint="D8"/>
    </w:rPr>
  </w:style>
  <w:style w:type="paragraph" w:customStyle="1" w:styleId="FootnoteBlockText">
    <w:name w:val="Footnote Block Text"/>
    <w:basedOn w:val="ae"/>
    <w:next w:val="ae"/>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5"/>
    <w:qFormat/>
    <w:pPr>
      <w:keepNext/>
    </w:pPr>
  </w:style>
  <w:style w:type="paragraph" w:customStyle="1" w:styleId="ImageCaption">
    <w:name w:val="Image Caption"/>
    <w:basedOn w:val="a5"/>
    <w:qFormat/>
  </w:style>
  <w:style w:type="paragraph" w:customStyle="1" w:styleId="Figure">
    <w:name w:val="Figure"/>
    <w:basedOn w:val="a"/>
    <w:qFormat/>
  </w:style>
  <w:style w:type="paragraph" w:customStyle="1" w:styleId="CaptionedFigure">
    <w:name w:val="Captioned Figure"/>
    <w:basedOn w:val="Figure"/>
    <w:qFormat/>
    <w:pPr>
      <w:keepNext/>
    </w:pPr>
  </w:style>
  <w:style w:type="character" w:customStyle="1" w:styleId="VerbatimChar">
    <w:name w:val="Verbatim Char"/>
    <w:basedOn w:val="a4"/>
    <w:link w:val="SourceCode"/>
    <w:qFormat/>
    <w:rPr>
      <w:rFonts w:ascii="Consolas" w:hAnsi="Consolas"/>
      <w:sz w:val="22"/>
    </w:rPr>
  </w:style>
  <w:style w:type="paragraph" w:customStyle="1" w:styleId="SourceCode">
    <w:name w:val="Source Code"/>
    <w:basedOn w:val="a"/>
    <w:link w:val="VerbatimChar"/>
    <w:qFormat/>
    <w:pPr>
      <w:wordWrap w:val="0"/>
    </w:pPr>
  </w:style>
  <w:style w:type="character" w:customStyle="1" w:styleId="SectionNumber">
    <w:name w:val="Section Number"/>
    <w:basedOn w:val="a4"/>
    <w:qFormat/>
  </w:style>
  <w:style w:type="paragraph" w:customStyle="1" w:styleId="TOC1">
    <w:name w:val="TOC 标题1"/>
    <w:basedOn w:val="1"/>
    <w:next w:val="a0"/>
    <w:uiPriority w:val="39"/>
    <w:unhideWhenUsed/>
    <w:qFormat/>
    <w:pPr>
      <w:spacing w:before="240" w:line="259" w:lineRule="auto"/>
      <w:outlineLvl w:val="9"/>
    </w:p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MTEquationSection">
    <w:name w:val="MTEquationSection"/>
    <w:basedOn w:val="a1"/>
    <w:rsid w:val="008E402B"/>
    <w:rPr>
      <w:rFonts w:ascii="Times New Roman" w:hAnsi="Times New Roman" w:cs="Times New Roman"/>
      <w:b/>
      <w:bCs/>
      <w:vanish/>
      <w:color w:val="FF0000"/>
      <w:sz w:val="36"/>
      <w:szCs w:val="36"/>
    </w:rPr>
  </w:style>
  <w:style w:type="paragraph" w:customStyle="1" w:styleId="MTDisplayEquation">
    <w:name w:val="MTDisplayEquation"/>
    <w:basedOn w:val="FirstParagraph"/>
    <w:next w:val="a"/>
    <w:link w:val="MTDisplayEquation0"/>
    <w:rsid w:val="008E402B"/>
    <w:pPr>
      <w:tabs>
        <w:tab w:val="center" w:pos="2600"/>
        <w:tab w:val="right" w:pos="4940"/>
      </w:tabs>
      <w:spacing w:before="0" w:after="0" w:line="276" w:lineRule="auto"/>
      <w:ind w:leftChars="100" w:left="240"/>
      <w:jc w:val="center"/>
    </w:pPr>
    <w:rPr>
      <w:rFonts w:ascii="Cambria Math" w:hAnsi="Cambria Math"/>
    </w:rPr>
  </w:style>
  <w:style w:type="character" w:customStyle="1" w:styleId="FirstParagraph0">
    <w:name w:val="First Paragraph 字符"/>
    <w:basedOn w:val="a4"/>
    <w:link w:val="FirstParagraph"/>
    <w:rsid w:val="008E402B"/>
    <w:rPr>
      <w:rFonts w:asciiTheme="minorHAnsi" w:eastAsiaTheme="minorEastAsia" w:hAnsiTheme="minorHAnsi" w:cstheme="minorBidi"/>
      <w:sz w:val="24"/>
      <w:szCs w:val="24"/>
    </w:rPr>
  </w:style>
  <w:style w:type="character" w:customStyle="1" w:styleId="MTDisplayEquation0">
    <w:name w:val="MTDisplayEquation 字符"/>
    <w:basedOn w:val="FirstParagraph0"/>
    <w:link w:val="MTDisplayEquation"/>
    <w:rsid w:val="008E402B"/>
    <w:rPr>
      <w:rFonts w:ascii="Cambria Math" w:eastAsiaTheme="minorEastAsia" w:hAnsi="Cambria Math"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100">
      <w:bodyDiv w:val="1"/>
      <w:marLeft w:val="0"/>
      <w:marRight w:val="0"/>
      <w:marTop w:val="0"/>
      <w:marBottom w:val="0"/>
      <w:divBdr>
        <w:top w:val="none" w:sz="0" w:space="0" w:color="auto"/>
        <w:left w:val="none" w:sz="0" w:space="0" w:color="auto"/>
        <w:bottom w:val="none" w:sz="0" w:space="0" w:color="auto"/>
        <w:right w:val="none" w:sz="0" w:space="0" w:color="auto"/>
      </w:divBdr>
    </w:div>
    <w:div w:id="594090787">
      <w:bodyDiv w:val="1"/>
      <w:marLeft w:val="0"/>
      <w:marRight w:val="0"/>
      <w:marTop w:val="0"/>
      <w:marBottom w:val="0"/>
      <w:divBdr>
        <w:top w:val="none" w:sz="0" w:space="0" w:color="auto"/>
        <w:left w:val="none" w:sz="0" w:space="0" w:color="auto"/>
        <w:bottom w:val="none" w:sz="0" w:space="0" w:color="auto"/>
        <w:right w:val="none" w:sz="0" w:space="0" w:color="auto"/>
      </w:divBdr>
      <w:divsChild>
        <w:div w:id="453595906">
          <w:marLeft w:val="0"/>
          <w:marRight w:val="0"/>
          <w:marTop w:val="0"/>
          <w:marBottom w:val="0"/>
          <w:divBdr>
            <w:top w:val="none" w:sz="0" w:space="0" w:color="auto"/>
            <w:left w:val="none" w:sz="0" w:space="0" w:color="auto"/>
            <w:bottom w:val="none" w:sz="0" w:space="0" w:color="auto"/>
            <w:right w:val="none" w:sz="0" w:space="0" w:color="auto"/>
          </w:divBdr>
          <w:divsChild>
            <w:div w:id="158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38845">
      <w:bodyDiv w:val="1"/>
      <w:marLeft w:val="0"/>
      <w:marRight w:val="0"/>
      <w:marTop w:val="0"/>
      <w:marBottom w:val="0"/>
      <w:divBdr>
        <w:top w:val="none" w:sz="0" w:space="0" w:color="auto"/>
        <w:left w:val="none" w:sz="0" w:space="0" w:color="auto"/>
        <w:bottom w:val="none" w:sz="0" w:space="0" w:color="auto"/>
        <w:right w:val="none" w:sz="0" w:space="0" w:color="auto"/>
      </w:divBdr>
    </w:div>
    <w:div w:id="1249802716">
      <w:bodyDiv w:val="1"/>
      <w:marLeft w:val="0"/>
      <w:marRight w:val="0"/>
      <w:marTop w:val="0"/>
      <w:marBottom w:val="0"/>
      <w:divBdr>
        <w:top w:val="none" w:sz="0" w:space="0" w:color="auto"/>
        <w:left w:val="none" w:sz="0" w:space="0" w:color="auto"/>
        <w:bottom w:val="none" w:sz="0" w:space="0" w:color="auto"/>
        <w:right w:val="none" w:sz="0" w:space="0" w:color="auto"/>
      </w:divBdr>
      <w:divsChild>
        <w:div w:id="2067683049">
          <w:marLeft w:val="0"/>
          <w:marRight w:val="0"/>
          <w:marTop w:val="0"/>
          <w:marBottom w:val="0"/>
          <w:divBdr>
            <w:top w:val="none" w:sz="0" w:space="0" w:color="auto"/>
            <w:left w:val="none" w:sz="0" w:space="0" w:color="auto"/>
            <w:bottom w:val="none" w:sz="0" w:space="0" w:color="auto"/>
            <w:right w:val="none" w:sz="0" w:space="0" w:color="auto"/>
          </w:divBdr>
          <w:divsChild>
            <w:div w:id="8590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6274">
      <w:bodyDiv w:val="1"/>
      <w:marLeft w:val="0"/>
      <w:marRight w:val="0"/>
      <w:marTop w:val="0"/>
      <w:marBottom w:val="0"/>
      <w:divBdr>
        <w:top w:val="none" w:sz="0" w:space="0" w:color="auto"/>
        <w:left w:val="none" w:sz="0" w:space="0" w:color="auto"/>
        <w:bottom w:val="none" w:sz="0" w:space="0" w:color="auto"/>
        <w:right w:val="none" w:sz="0" w:space="0" w:color="auto"/>
      </w:divBdr>
      <w:divsChild>
        <w:div w:id="410738960">
          <w:marLeft w:val="0"/>
          <w:marRight w:val="0"/>
          <w:marTop w:val="0"/>
          <w:marBottom w:val="0"/>
          <w:divBdr>
            <w:top w:val="none" w:sz="0" w:space="0" w:color="auto"/>
            <w:left w:val="none" w:sz="0" w:space="0" w:color="auto"/>
            <w:bottom w:val="none" w:sz="0" w:space="0" w:color="auto"/>
            <w:right w:val="none" w:sz="0" w:space="0" w:color="auto"/>
          </w:divBdr>
          <w:divsChild>
            <w:div w:id="6682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5504">
      <w:bodyDiv w:val="1"/>
      <w:marLeft w:val="0"/>
      <w:marRight w:val="0"/>
      <w:marTop w:val="0"/>
      <w:marBottom w:val="0"/>
      <w:divBdr>
        <w:top w:val="none" w:sz="0" w:space="0" w:color="auto"/>
        <w:left w:val="none" w:sz="0" w:space="0" w:color="auto"/>
        <w:bottom w:val="none" w:sz="0" w:space="0" w:color="auto"/>
        <w:right w:val="none" w:sz="0" w:space="0" w:color="auto"/>
      </w:divBdr>
      <w:divsChild>
        <w:div w:id="59210132">
          <w:marLeft w:val="0"/>
          <w:marRight w:val="0"/>
          <w:marTop w:val="0"/>
          <w:marBottom w:val="0"/>
          <w:divBdr>
            <w:top w:val="none" w:sz="0" w:space="0" w:color="auto"/>
            <w:left w:val="none" w:sz="0" w:space="0" w:color="auto"/>
            <w:bottom w:val="none" w:sz="0" w:space="0" w:color="auto"/>
            <w:right w:val="none" w:sz="0" w:space="0" w:color="auto"/>
          </w:divBdr>
          <w:divsChild>
            <w:div w:id="5739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286</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century of semiclassics - tunneling and quantization </dc:title>
  <dc:creator>E.Pollak^1 \\ ^1Chemical and Biological Physics Department, Weizmann Institute of Science, Rehovoth-76100-Israel</dc:creator>
  <cp:lastModifiedBy>familyliu05@163.com</cp:lastModifiedBy>
  <cp:revision>87</cp:revision>
  <dcterms:created xsi:type="dcterms:W3CDTF">2026-01-20T16:27:00Z</dcterms:created>
  <dcterms:modified xsi:type="dcterms:W3CDTF">2026-03-13T08:55:00Z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Two quantum effects have had a big impact on Chemistry. Arguably the most important one is the quantization of vib-rotational energy levels, an effect which challenges classical mechanics computations of molecular dynamics and is at the basis of molecular spectroscopy. The second is quantum tunneling which is especially important when considering light atoms transfer, especially hydrogen atoms and proton transfer. Tunneling was reported for the first time by Hund in 1927 in his paper which was submitted on Nov. 19, 1926. The quantization of energy levels was one of the major building blocks of the new quantum theory, the semiclassical quantization condition was formulated in the summer of 1927 by Brillouin, Wentzel and Kramers. In retrospect, a century later, we have learned much about the two effects, yet surprisingly, the giants who discovered and formulated the relevant semiclassical theories left us with some challenges. Some of these have been answered during the past five years and these are the main emphasis of this review, which is not a review of 100 years of semiclassics, a project which calls for books, rather than short review articles. At the same time, we point out some remaining challenges which have not been answered, and which demonstrate, that there is always something new to learn even when considering well established theories.</vt:lpwstr>
  </property>
  <property fmtid="{D5CDD505-2E9C-101B-9397-08002B2CF9AE}" pid="3" name="date">
    <vt:lpwstr/>
  </property>
  <property fmtid="{D5CDD505-2E9C-101B-9397-08002B2CF9AE}" pid="4" name="KSOTemplateDocerSaveRecord">
    <vt:lpwstr>eyJoZGlkIjoiOTExNWFhMjZhMWNlZGJiYzllZTc4MmQwZTExZDNlZGQiLCJ1c2VySWQiOiIyMzQwNzM2ODgifQ==</vt:lpwstr>
  </property>
  <property fmtid="{D5CDD505-2E9C-101B-9397-08002B2CF9AE}" pid="5" name="KSOProductBuildVer">
    <vt:lpwstr>2052-12.1.25201.25201</vt:lpwstr>
  </property>
  <property fmtid="{D5CDD505-2E9C-101B-9397-08002B2CF9AE}" pid="6" name="ICV">
    <vt:lpwstr>439BDB280CAF4316B12006332465E1B4_12</vt:lpwstr>
  </property>
  <property fmtid="{D5CDD505-2E9C-101B-9397-08002B2CF9AE}" pid="7" name="MTWinEqns">
    <vt:bool>true</vt:bool>
  </property>
  <property fmtid="{D5CDD505-2E9C-101B-9397-08002B2CF9AE}" pid="8" name="MTEquationSection">
    <vt:lpwstr>1</vt:lpwstr>
  </property>
  <property fmtid="{D5CDD505-2E9C-101B-9397-08002B2CF9AE}" pid="9" name="MTEquationNumber2">
    <vt:lpwstr>(#S1)</vt:lpwstr>
  </property>
  <property fmtid="{D5CDD505-2E9C-101B-9397-08002B2CF9AE}" pid="10" name="MTCustomEquationNumber">
    <vt:lpwstr>1</vt:lpwstr>
  </property>
</Properties>
</file>